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0837" w14:textId="136EB291" w:rsidR="00712D0A" w:rsidRPr="0049738A" w:rsidRDefault="00C4338B" w:rsidP="00780F0D">
      <w:pPr>
        <w:pStyle w:val="Heading1"/>
        <w:rPr>
          <w:rFonts w:ascii="Arial" w:hAnsi="Arial" w:cs="Arial"/>
        </w:rPr>
      </w:pPr>
      <w:r w:rsidRPr="0049738A">
        <w:rPr>
          <w:rFonts w:ascii="Arial" w:hAnsi="Arial" w:cs="Arial"/>
        </w:rPr>
        <w:t>P</w:t>
      </w:r>
      <w:r w:rsidR="00712D0A" w:rsidRPr="0049738A">
        <w:rPr>
          <w:rFonts w:ascii="Arial" w:hAnsi="Arial" w:cs="Arial"/>
        </w:rPr>
        <w:t xml:space="preserve">rofessional Capability Procedure for Schools </w:t>
      </w:r>
    </w:p>
    <w:p w14:paraId="7838CD3D" w14:textId="3332622E" w:rsidR="00712D0A" w:rsidRPr="00D5516F" w:rsidRDefault="006F052C" w:rsidP="00D5516F">
      <w:pPr>
        <w:pStyle w:val="Heading2"/>
      </w:pPr>
      <w:r w:rsidRPr="00D5516F">
        <w:t>I</w:t>
      </w:r>
      <w:r w:rsidR="00712D0A" w:rsidRPr="00D5516F">
        <w:t>ntroduction</w:t>
      </w:r>
    </w:p>
    <w:p w14:paraId="3626A442" w14:textId="77777777" w:rsidR="00712D0A" w:rsidRPr="00012455" w:rsidRDefault="00712D0A" w:rsidP="00DC5051">
      <w:pPr>
        <w:pStyle w:val="Numberedparagraphs"/>
        <w:numPr>
          <w:ilvl w:val="0"/>
          <w:numId w:val="0"/>
        </w:numPr>
        <w:rPr>
          <w:rFonts w:ascii="Arial" w:hAnsi="Arial" w:cs="Arial"/>
        </w:rPr>
      </w:pPr>
      <w:r w:rsidRPr="00012455">
        <w:rPr>
          <w:rFonts w:ascii="Arial" w:hAnsi="Arial" w:cs="Arial"/>
        </w:rPr>
        <w:t xml:space="preserve">The School Staffing (England) Regulations 2009 sets out a requirement for governing bodies to establish procedures for dealing with lack of capability on the part of staff employed in schools. </w:t>
      </w:r>
    </w:p>
    <w:p w14:paraId="03783EA3" w14:textId="5BC0C766" w:rsidR="00712D0A" w:rsidRPr="00012455" w:rsidRDefault="00712D0A" w:rsidP="00DC5051">
      <w:pPr>
        <w:pStyle w:val="Numberedparagraphs"/>
        <w:numPr>
          <w:ilvl w:val="0"/>
          <w:numId w:val="0"/>
        </w:numPr>
        <w:rPr>
          <w:rFonts w:ascii="Arial" w:hAnsi="Arial" w:cs="Arial"/>
        </w:rPr>
      </w:pPr>
      <w:r w:rsidRPr="00012455">
        <w:rPr>
          <w:rFonts w:ascii="Arial" w:hAnsi="Arial" w:cs="Arial"/>
        </w:rPr>
        <w:t>The School Staffing (England) (Amendment) Regulations 2012 requires schools to provide details about whether a headteacher or teacher has been subject to capability procedures in the previous two years.</w:t>
      </w:r>
    </w:p>
    <w:p w14:paraId="3707B1B5" w14:textId="0DA18359" w:rsidR="00712D0A" w:rsidRPr="00012455" w:rsidRDefault="00712D0A" w:rsidP="00DC5051">
      <w:pPr>
        <w:pStyle w:val="Numberedparagraphs"/>
        <w:numPr>
          <w:ilvl w:val="0"/>
          <w:numId w:val="0"/>
        </w:numPr>
        <w:rPr>
          <w:rFonts w:ascii="Arial" w:hAnsi="Arial" w:cs="Arial"/>
        </w:rPr>
      </w:pPr>
      <w:r w:rsidRPr="00012455">
        <w:rPr>
          <w:rFonts w:ascii="Arial" w:hAnsi="Arial" w:cs="Arial"/>
        </w:rPr>
        <w:t>Schools and local authorities must stay within the legal framework set out in the Staffing Regulations and in other relevant legislation that affects all employers (for example legislation on equality, employment protection and data protection</w:t>
      </w:r>
      <w:r w:rsidR="00856515">
        <w:rPr>
          <w:rFonts w:ascii="Arial" w:hAnsi="Arial" w:cs="Arial"/>
        </w:rPr>
        <w:t>, health and safety)</w:t>
      </w:r>
      <w:r w:rsidRPr="00012455">
        <w:rPr>
          <w:rFonts w:ascii="Arial" w:hAnsi="Arial" w:cs="Arial"/>
        </w:rPr>
        <w:t>.</w:t>
      </w:r>
    </w:p>
    <w:p w14:paraId="3D3932F6" w14:textId="769A3F5F" w:rsidR="00712D0A" w:rsidRPr="00012455" w:rsidRDefault="00712D0A" w:rsidP="00DC5051">
      <w:pPr>
        <w:pStyle w:val="Numberedparagraphs"/>
        <w:numPr>
          <w:ilvl w:val="0"/>
          <w:numId w:val="0"/>
        </w:numPr>
        <w:rPr>
          <w:rFonts w:ascii="Arial" w:hAnsi="Arial" w:cs="Arial"/>
        </w:rPr>
      </w:pPr>
      <w:r w:rsidRPr="00012455">
        <w:rPr>
          <w:rFonts w:ascii="Arial" w:hAnsi="Arial" w:cs="Arial"/>
        </w:rPr>
        <w:t>The model Professional Capability Procedure has been developed from the model published by the Department for Education. It includes additional details where it is considered that these are helpful to the operation of an effective procedure. The Oxfordshire model procedure has been drawn up following consultation with all the recognised Trade Unions and Associations and should be read alongside the model Appraisal Policy</w:t>
      </w:r>
      <w:r w:rsidR="00856515">
        <w:rPr>
          <w:rFonts w:ascii="Arial" w:hAnsi="Arial" w:cs="Arial"/>
        </w:rPr>
        <w:t xml:space="preserve"> (see link at the end of this document)</w:t>
      </w:r>
      <w:r w:rsidRPr="00012455">
        <w:rPr>
          <w:rFonts w:ascii="Arial" w:hAnsi="Arial" w:cs="Arial"/>
        </w:rPr>
        <w:t>.</w:t>
      </w:r>
    </w:p>
    <w:p w14:paraId="7842D2DC" w14:textId="77777777" w:rsidR="00712D0A" w:rsidRPr="00012455" w:rsidRDefault="00712D0A" w:rsidP="00DC5051">
      <w:pPr>
        <w:pStyle w:val="Numberedparagraphs"/>
        <w:numPr>
          <w:ilvl w:val="0"/>
          <w:numId w:val="0"/>
        </w:numPr>
        <w:rPr>
          <w:rFonts w:ascii="Arial" w:hAnsi="Arial" w:cs="Arial"/>
        </w:rPr>
      </w:pPr>
      <w:r w:rsidRPr="00012455">
        <w:rPr>
          <w:rFonts w:ascii="Arial" w:hAnsi="Arial" w:cs="Arial"/>
        </w:rPr>
        <w:t xml:space="preserve">This model procedure applies to teachers, including headteachers and school support staff. The policy has been written in the context of schools, but the same principles apply to unattached or centrally employed teachers.  </w:t>
      </w:r>
    </w:p>
    <w:p w14:paraId="620E9867" w14:textId="499C941A" w:rsidR="00712D0A" w:rsidRPr="00D5516F" w:rsidRDefault="00712D0A" w:rsidP="00D5516F">
      <w:pPr>
        <w:pStyle w:val="Heading2"/>
      </w:pPr>
      <w:r w:rsidRPr="00D5516F">
        <w:t>General Principles Underlying This procedure</w:t>
      </w:r>
    </w:p>
    <w:p w14:paraId="5A29CA19" w14:textId="58475060" w:rsidR="00DC5051" w:rsidRPr="00012455" w:rsidRDefault="00712D0A" w:rsidP="00D5516F">
      <w:pPr>
        <w:pStyle w:val="Heading2"/>
      </w:pPr>
      <w:r w:rsidRPr="00012455">
        <w:t>The role of the Local Authority for Community, Voluntary Controlled, Community Special and Maintained Nursery Schools</w:t>
      </w:r>
    </w:p>
    <w:p w14:paraId="53A6E9B9" w14:textId="75C33712" w:rsidR="00712D0A" w:rsidRPr="00012455" w:rsidRDefault="00712D0A" w:rsidP="00DC5051">
      <w:pPr>
        <w:rPr>
          <w:rFonts w:ascii="Arial" w:hAnsi="Arial" w:cs="Arial"/>
        </w:rPr>
      </w:pPr>
      <w:r w:rsidRPr="00012455">
        <w:rPr>
          <w:rFonts w:ascii="Arial" w:hAnsi="Arial" w:cs="Arial"/>
        </w:rPr>
        <w:t xml:space="preserve">Throughout this procedure the Director for </w:t>
      </w:r>
      <w:r w:rsidR="0063463A" w:rsidRPr="00012455">
        <w:rPr>
          <w:rFonts w:ascii="Arial" w:hAnsi="Arial" w:cs="Arial"/>
        </w:rPr>
        <w:t>Children’s Services</w:t>
      </w:r>
      <w:r w:rsidRPr="00012455">
        <w:rPr>
          <w:rFonts w:ascii="Arial" w:hAnsi="Arial" w:cs="Arial"/>
        </w:rPr>
        <w:t xml:space="preserve"> will discharge </w:t>
      </w:r>
      <w:r w:rsidR="0063463A" w:rsidRPr="00012455">
        <w:rPr>
          <w:rFonts w:ascii="Arial" w:hAnsi="Arial" w:cs="Arial"/>
        </w:rPr>
        <w:t>their</w:t>
      </w:r>
      <w:r w:rsidRPr="00012455">
        <w:rPr>
          <w:rFonts w:ascii="Arial" w:hAnsi="Arial" w:cs="Arial"/>
        </w:rPr>
        <w:t xml:space="preserve"> responsibilities through </w:t>
      </w:r>
      <w:r w:rsidRPr="00012455">
        <w:rPr>
          <w:rFonts w:ascii="Arial" w:hAnsi="Arial" w:cs="Arial"/>
          <w:shd w:val="clear" w:color="auto" w:fill="FFFFFF" w:themeFill="background1"/>
        </w:rPr>
        <w:t xml:space="preserve">the </w:t>
      </w:r>
      <w:r w:rsidR="0063463A" w:rsidRPr="00012455">
        <w:rPr>
          <w:rFonts w:ascii="Arial" w:hAnsi="Arial" w:cs="Arial"/>
          <w:shd w:val="clear" w:color="auto" w:fill="FFFFFF" w:themeFill="background1"/>
        </w:rPr>
        <w:t>HR Business Partner for Schools</w:t>
      </w:r>
      <w:r w:rsidR="00DC5051" w:rsidRPr="00012455">
        <w:rPr>
          <w:rFonts w:ascii="Arial" w:hAnsi="Arial" w:cs="Arial"/>
          <w:shd w:val="clear" w:color="auto" w:fill="FFFFFF" w:themeFill="background1"/>
        </w:rPr>
        <w:t>.</w:t>
      </w:r>
      <w:r w:rsidR="00DC5051" w:rsidRPr="00012455">
        <w:rPr>
          <w:rFonts w:ascii="Arial" w:hAnsi="Arial" w:cs="Arial"/>
        </w:rPr>
        <w:t xml:space="preserve"> </w:t>
      </w:r>
    </w:p>
    <w:p w14:paraId="45614E26" w14:textId="4D273003" w:rsidR="00712D0A" w:rsidRPr="00012455" w:rsidRDefault="00712D0A" w:rsidP="00D5516F">
      <w:pPr>
        <w:pStyle w:val="Heading2"/>
      </w:pPr>
      <w:r w:rsidRPr="00012455">
        <w:t xml:space="preserve">ACAS Code of Practice on Disciplinary and Grievance Procedures </w:t>
      </w:r>
    </w:p>
    <w:p w14:paraId="40FFEFE1" w14:textId="1DD7DDAD" w:rsidR="00712D0A" w:rsidRPr="00012455" w:rsidRDefault="00712D0A" w:rsidP="00DC5051">
      <w:pPr>
        <w:pStyle w:val="Numberedparagraphs"/>
        <w:numPr>
          <w:ilvl w:val="0"/>
          <w:numId w:val="0"/>
        </w:numPr>
        <w:rPr>
          <w:rFonts w:ascii="Arial" w:hAnsi="Arial" w:cs="Arial"/>
        </w:rPr>
      </w:pPr>
      <w:r w:rsidRPr="00012455">
        <w:rPr>
          <w:rFonts w:ascii="Arial" w:hAnsi="Arial" w:cs="Arial"/>
        </w:rPr>
        <w:t>The Professional Capability Policy will be implemented in accordance with the provisions of the ACAS Code of Practice.</w:t>
      </w:r>
    </w:p>
    <w:p w14:paraId="35A2700B" w14:textId="0E8B6F7A" w:rsidR="00712D0A" w:rsidRPr="00D5516F" w:rsidRDefault="00712D0A" w:rsidP="00D5516F">
      <w:pPr>
        <w:pStyle w:val="Heading2"/>
      </w:pPr>
      <w:r w:rsidRPr="00D5516F">
        <w:lastRenderedPageBreak/>
        <w:t xml:space="preserve">Confidentiality </w:t>
      </w:r>
    </w:p>
    <w:p w14:paraId="599B22E8" w14:textId="47B23148" w:rsidR="003859EC" w:rsidRPr="008A21C8" w:rsidRDefault="003859EC" w:rsidP="003859EC">
      <w:pPr>
        <w:autoSpaceDE w:val="0"/>
        <w:autoSpaceDN w:val="0"/>
        <w:rPr>
          <w:rFonts w:ascii="Arial" w:hAnsi="Arial" w:cs="Arial"/>
          <w:color w:val="000000"/>
          <w:lang w:val="en"/>
        </w:rPr>
      </w:pPr>
      <w:r w:rsidRPr="008A21C8">
        <w:rPr>
          <w:rFonts w:ascii="Arial" w:hAnsi="Arial" w:cs="Arial"/>
        </w:rPr>
        <w:t>I</w:t>
      </w:r>
      <w:r w:rsidRPr="008A21C8">
        <w:rPr>
          <w:rFonts w:ascii="Arial" w:hAnsi="Arial" w:cs="Arial"/>
          <w:lang w:val="en"/>
        </w:rPr>
        <w:t xml:space="preserve">t is expected that all parties involved in the capability process will maintain confidentiality as appropriate.  This is both within and outside of the </w:t>
      </w:r>
      <w:proofErr w:type="gramStart"/>
      <w:r w:rsidRPr="008A21C8">
        <w:rPr>
          <w:rFonts w:ascii="Arial" w:hAnsi="Arial" w:cs="Arial"/>
          <w:lang w:val="en"/>
        </w:rPr>
        <w:t>School</w:t>
      </w:r>
      <w:proofErr w:type="gramEnd"/>
      <w:r w:rsidRPr="008A21C8">
        <w:rPr>
          <w:rFonts w:ascii="Arial" w:hAnsi="Arial" w:cs="Arial"/>
          <w:lang w:val="en"/>
        </w:rPr>
        <w:t xml:space="preserve"> (including social media).  </w:t>
      </w:r>
      <w:r w:rsidRPr="008A21C8">
        <w:rPr>
          <w:rFonts w:ascii="Arial" w:hAnsi="Arial" w:cs="Arial"/>
        </w:rPr>
        <w:t xml:space="preserve">Governors will be notified </w:t>
      </w:r>
      <w:proofErr w:type="gramStart"/>
      <w:r w:rsidRPr="008A21C8">
        <w:rPr>
          <w:rFonts w:ascii="Arial" w:hAnsi="Arial" w:cs="Arial"/>
        </w:rPr>
        <w:t>in the event that</w:t>
      </w:r>
      <w:proofErr w:type="gramEnd"/>
      <w:r w:rsidRPr="008A21C8">
        <w:rPr>
          <w:rFonts w:ascii="Arial" w:hAnsi="Arial" w:cs="Arial"/>
        </w:rPr>
        <w:t xml:space="preserve"> the formal Professional Capability Procedure is applied to a member of staff, but will not be provided with any other detail, as this may prejudice governors’ involvement in a later stage if recourse to that stage eventually becomes necessary.</w:t>
      </w:r>
      <w:r w:rsidR="00856515">
        <w:rPr>
          <w:rFonts w:ascii="Arial" w:hAnsi="Arial" w:cs="Arial"/>
        </w:rPr>
        <w:t xml:space="preserve"> </w:t>
      </w:r>
      <w:r w:rsidR="00856515" w:rsidRPr="00856515">
        <w:rPr>
          <w:rFonts w:ascii="Arial" w:hAnsi="Arial" w:cs="Arial"/>
        </w:rPr>
        <w:t>Records must be kept no longer than necessary and in compliance with GDPR and Data Protection Act 2018</w:t>
      </w:r>
      <w:r w:rsidR="00856515">
        <w:rPr>
          <w:rFonts w:ascii="Arial" w:hAnsi="Arial" w:cs="Arial"/>
        </w:rPr>
        <w:t>.</w:t>
      </w:r>
    </w:p>
    <w:p w14:paraId="33B11FA7" w14:textId="1E810B2E" w:rsidR="00712D0A" w:rsidRPr="00012455" w:rsidRDefault="003859EC" w:rsidP="003B47BF">
      <w:pPr>
        <w:tabs>
          <w:tab w:val="left" w:pos="1590"/>
        </w:tabs>
        <w:rPr>
          <w:rFonts w:ascii="Arial" w:hAnsi="Arial" w:cs="Arial"/>
          <w:i/>
        </w:rPr>
      </w:pPr>
      <w:r w:rsidRPr="008A21C8">
        <w:rPr>
          <w:rFonts w:ascii="Arial" w:hAnsi="Arial" w:cs="Arial"/>
          <w:color w:val="000000"/>
          <w:lang w:val="en"/>
        </w:rPr>
        <w:t>If any party does not maintain confidentiality action may be taken under the Disciplinary policy.</w:t>
      </w:r>
      <w:r w:rsidR="00856515">
        <w:rPr>
          <w:rFonts w:ascii="Arial" w:hAnsi="Arial" w:cs="Arial"/>
          <w:color w:val="000000"/>
          <w:lang w:val="en"/>
        </w:rPr>
        <w:t xml:space="preserve"> This does not apply in relation to employees taking advice and   liaising with their union representative.</w:t>
      </w:r>
    </w:p>
    <w:p w14:paraId="2D18125A" w14:textId="25FDA40E" w:rsidR="00712D0A" w:rsidRPr="00D5516F" w:rsidRDefault="00712D0A" w:rsidP="00D5516F">
      <w:pPr>
        <w:pStyle w:val="Heading2"/>
      </w:pPr>
      <w:r w:rsidRPr="00D5516F">
        <w:t xml:space="preserve">Consistency of Treatment and Fairness </w:t>
      </w:r>
    </w:p>
    <w:p w14:paraId="4A40EBB9" w14:textId="1AC37848" w:rsidR="00856515" w:rsidRPr="00856515" w:rsidRDefault="00712D0A" w:rsidP="00856515">
      <w:pPr>
        <w:pStyle w:val="CommentText"/>
        <w:rPr>
          <w:sz w:val="24"/>
          <w:szCs w:val="24"/>
        </w:rPr>
      </w:pPr>
      <w:r w:rsidRPr="00856515">
        <w:rPr>
          <w:rFonts w:ascii="Arial" w:hAnsi="Arial" w:cs="Arial"/>
          <w:sz w:val="24"/>
          <w:szCs w:val="24"/>
        </w:rPr>
        <w:t>The Governing Body is committed to ensuring consistency of treatment and fairness and will abide by all relevant equality legislation.</w:t>
      </w:r>
      <w:r w:rsidR="00856515" w:rsidRPr="00856515">
        <w:rPr>
          <w:rFonts w:ascii="Arial" w:hAnsi="Arial" w:cs="Arial"/>
          <w:sz w:val="24"/>
          <w:szCs w:val="24"/>
        </w:rPr>
        <w:t xml:space="preserve"> </w:t>
      </w:r>
      <w:r w:rsidR="00856515" w:rsidRPr="00856515">
        <w:rPr>
          <w:sz w:val="24"/>
          <w:szCs w:val="24"/>
        </w:rPr>
        <w:t>An equality impact assessment of this policy will be undertaken to ensure that no groups or individuals with protected characteristics are unintentionally disadvantaged by the policy or practice</w:t>
      </w:r>
      <w:r w:rsidR="00856515">
        <w:rPr>
          <w:sz w:val="24"/>
          <w:szCs w:val="24"/>
        </w:rPr>
        <w:t>.</w:t>
      </w:r>
    </w:p>
    <w:p w14:paraId="0F84C184" w14:textId="379FE1CA" w:rsidR="00712D0A" w:rsidRPr="00012455" w:rsidRDefault="00712D0A" w:rsidP="00712D0A">
      <w:pPr>
        <w:rPr>
          <w:rFonts w:ascii="Arial" w:hAnsi="Arial" w:cs="Arial"/>
          <w:b/>
        </w:rPr>
      </w:pPr>
    </w:p>
    <w:p w14:paraId="7300AEFB" w14:textId="443B4D1F" w:rsidR="00712D0A" w:rsidRPr="00D5516F" w:rsidRDefault="00712D0A" w:rsidP="00D5516F">
      <w:pPr>
        <w:pStyle w:val="Heading2"/>
      </w:pPr>
      <w:r w:rsidRPr="00D5516F">
        <w:t xml:space="preserve">Definitions </w:t>
      </w:r>
    </w:p>
    <w:p w14:paraId="52E0886D" w14:textId="77777777" w:rsidR="006F052C" w:rsidRPr="00012455" w:rsidRDefault="00712D0A" w:rsidP="00712D0A">
      <w:pPr>
        <w:numPr>
          <w:ilvl w:val="12"/>
          <w:numId w:val="0"/>
        </w:numPr>
        <w:rPr>
          <w:rFonts w:ascii="Arial" w:hAnsi="Arial" w:cs="Arial"/>
        </w:rPr>
      </w:pPr>
      <w:r w:rsidRPr="00012455">
        <w:rPr>
          <w:rFonts w:ascii="Arial" w:hAnsi="Arial" w:cs="Arial"/>
        </w:rPr>
        <w:t>Unless indicated otherwise, all references to “teacher” include the headteacher.</w:t>
      </w:r>
    </w:p>
    <w:p w14:paraId="1AB1F268" w14:textId="651ADEC1" w:rsidR="00712D0A" w:rsidRPr="00D5516F" w:rsidRDefault="00712D0A" w:rsidP="00D5516F">
      <w:pPr>
        <w:pStyle w:val="Heading2"/>
      </w:pPr>
      <w:r w:rsidRPr="00D5516F">
        <w:t xml:space="preserve">Delegation </w:t>
      </w:r>
    </w:p>
    <w:p w14:paraId="37AD52BA" w14:textId="77777777" w:rsidR="00712D0A" w:rsidRPr="00012455" w:rsidRDefault="00712D0A" w:rsidP="00712D0A">
      <w:pPr>
        <w:pStyle w:val="T1"/>
        <w:spacing w:before="0"/>
        <w:jc w:val="left"/>
        <w:rPr>
          <w:rFonts w:ascii="Arial" w:hAnsi="Arial" w:cs="Arial"/>
          <w:sz w:val="24"/>
          <w:szCs w:val="24"/>
        </w:rPr>
      </w:pPr>
      <w:r w:rsidRPr="00012455">
        <w:rPr>
          <w:rFonts w:ascii="Arial" w:hAnsi="Arial" w:cs="Arial"/>
          <w:sz w:val="24"/>
          <w:szCs w:val="24"/>
        </w:rPr>
        <w:t xml:space="preserve">Normal rules apply in respect of the delegation of functions by governing bodies, headteachers and local authorities.  </w:t>
      </w:r>
    </w:p>
    <w:p w14:paraId="0F4B8656" w14:textId="77777777" w:rsidR="00712D0A" w:rsidRPr="00012455" w:rsidRDefault="00712D0A" w:rsidP="00712D0A">
      <w:pPr>
        <w:rPr>
          <w:rFonts w:ascii="Arial" w:hAnsi="Arial" w:cs="Arial"/>
        </w:rPr>
      </w:pPr>
    </w:p>
    <w:p w14:paraId="7D34610C" w14:textId="24B2A53A" w:rsidR="00712D0A" w:rsidRPr="00012455" w:rsidRDefault="00712D0A" w:rsidP="00712D0A">
      <w:pPr>
        <w:rPr>
          <w:rFonts w:ascii="Arial" w:hAnsi="Arial" w:cs="Arial"/>
          <w:b/>
        </w:rPr>
      </w:pPr>
      <w:r w:rsidRPr="00012455">
        <w:rPr>
          <w:rFonts w:ascii="Arial" w:hAnsi="Arial" w:cs="Arial"/>
          <w:b/>
        </w:rPr>
        <w:t>Advice and guidance on any aspect of this procedure can be obtained from the Schools’</w:t>
      </w:r>
      <w:r w:rsidR="00C30955" w:rsidRPr="00012455">
        <w:rPr>
          <w:rFonts w:ascii="Arial" w:hAnsi="Arial" w:cs="Arial"/>
          <w:b/>
        </w:rPr>
        <w:t xml:space="preserve"> HR Adviser.</w:t>
      </w:r>
      <w:r w:rsidRPr="00012455">
        <w:rPr>
          <w:rFonts w:ascii="Arial" w:hAnsi="Arial" w:cs="Arial"/>
          <w:b/>
        </w:rPr>
        <w:t xml:space="preserve"> </w:t>
      </w:r>
    </w:p>
    <w:p w14:paraId="5D7C0C8F" w14:textId="77777777" w:rsidR="00712D0A" w:rsidRPr="00012455" w:rsidRDefault="00712D0A" w:rsidP="00012455">
      <w:pPr>
        <w:pStyle w:val="Heading2"/>
        <w:rPr>
          <w:sz w:val="32"/>
          <w:szCs w:val="32"/>
        </w:rPr>
      </w:pPr>
      <w:r w:rsidRPr="0049738A">
        <w:br w:type="page"/>
      </w:r>
      <w:r w:rsidRPr="00012455">
        <w:rPr>
          <w:sz w:val="32"/>
          <w:szCs w:val="32"/>
        </w:rPr>
        <w:lastRenderedPageBreak/>
        <w:t xml:space="preserve">Professional Capability Procedure </w:t>
      </w:r>
    </w:p>
    <w:p w14:paraId="24F4DD91" w14:textId="5582163F" w:rsidR="00712D0A" w:rsidRPr="0049738A" w:rsidRDefault="00712D0A" w:rsidP="00012455">
      <w:pPr>
        <w:pStyle w:val="Heading2"/>
        <w:numPr>
          <w:ilvl w:val="0"/>
          <w:numId w:val="42"/>
        </w:numPr>
        <w:ind w:left="284" w:hanging="284"/>
        <w:rPr>
          <w:rFonts w:ascii="Arial" w:hAnsi="Arial" w:cs="Arial"/>
        </w:rPr>
      </w:pPr>
      <w:r w:rsidRPr="0049738A">
        <w:rPr>
          <w:rFonts w:ascii="Arial" w:hAnsi="Arial" w:cs="Arial"/>
        </w:rPr>
        <w:t xml:space="preserve">Purpose </w:t>
      </w:r>
    </w:p>
    <w:p w14:paraId="60E4C40A" w14:textId="57BAA4A9" w:rsidR="00712D0A" w:rsidRPr="0049738A" w:rsidRDefault="00712D0A" w:rsidP="00780F0D">
      <w:pPr>
        <w:spacing w:after="0" w:line="240" w:lineRule="auto"/>
        <w:rPr>
          <w:rFonts w:ascii="Arial" w:hAnsi="Arial" w:cs="Arial"/>
        </w:rPr>
      </w:pPr>
      <w:r w:rsidRPr="0049738A">
        <w:rPr>
          <w:rFonts w:ascii="Arial" w:hAnsi="Arial" w:cs="Arial"/>
        </w:rPr>
        <w:t xml:space="preserve">This procedure sets out the arrangements that will apply when the performance of employees falls below the levels of professional capability that are expected of them.  </w:t>
      </w:r>
    </w:p>
    <w:p w14:paraId="2E4BC38F" w14:textId="77777777" w:rsidR="000846C2" w:rsidRPr="0049738A" w:rsidRDefault="000846C2" w:rsidP="00780F0D">
      <w:pPr>
        <w:spacing w:after="0" w:line="240" w:lineRule="auto"/>
        <w:rPr>
          <w:rFonts w:ascii="Arial" w:hAnsi="Arial" w:cs="Arial"/>
        </w:rPr>
      </w:pPr>
    </w:p>
    <w:p w14:paraId="03E54021" w14:textId="743D2CE1" w:rsidR="000846C2" w:rsidRPr="008A21C8" w:rsidRDefault="006F052C" w:rsidP="008A21C8">
      <w:pPr>
        <w:rPr>
          <w:rFonts w:ascii="Arial" w:hAnsi="Arial" w:cs="Arial"/>
        </w:rPr>
      </w:pPr>
      <w:r w:rsidRPr="008A21C8">
        <w:rPr>
          <w:rFonts w:ascii="Arial" w:hAnsi="Arial" w:cs="Arial"/>
        </w:rPr>
        <w:t>T</w:t>
      </w:r>
      <w:r w:rsidR="000846C2" w:rsidRPr="008A21C8">
        <w:rPr>
          <w:rFonts w:ascii="Arial" w:hAnsi="Arial" w:cs="Arial"/>
        </w:rPr>
        <w:t xml:space="preserve">his School expects </w:t>
      </w:r>
      <w:r w:rsidR="00856515">
        <w:rPr>
          <w:rFonts w:ascii="Arial" w:hAnsi="Arial" w:cs="Arial"/>
        </w:rPr>
        <w:t>professional</w:t>
      </w:r>
      <w:r w:rsidR="000846C2" w:rsidRPr="008A21C8">
        <w:rPr>
          <w:rFonts w:ascii="Arial" w:hAnsi="Arial" w:cs="Arial"/>
        </w:rPr>
        <w:t xml:space="preserve"> standards of performance and is committed to</w:t>
      </w:r>
      <w:r w:rsidR="00780F0D" w:rsidRPr="008A21C8">
        <w:rPr>
          <w:rFonts w:ascii="Arial" w:hAnsi="Arial" w:cs="Arial"/>
        </w:rPr>
        <w:t xml:space="preserve"> </w:t>
      </w:r>
      <w:r w:rsidR="000846C2" w:rsidRPr="008A21C8">
        <w:rPr>
          <w:rFonts w:ascii="Arial" w:hAnsi="Arial" w:cs="Arial"/>
        </w:rPr>
        <w:t xml:space="preserve">supporting employees to fulfil the requirements of their role. The </w:t>
      </w:r>
      <w:proofErr w:type="gramStart"/>
      <w:r w:rsidR="000846C2" w:rsidRPr="008A21C8">
        <w:rPr>
          <w:rFonts w:ascii="Arial" w:hAnsi="Arial" w:cs="Arial"/>
        </w:rPr>
        <w:t>School</w:t>
      </w:r>
      <w:proofErr w:type="gramEnd"/>
      <w:r w:rsidR="000846C2" w:rsidRPr="008A21C8">
        <w:rPr>
          <w:rFonts w:ascii="Arial" w:hAnsi="Arial" w:cs="Arial"/>
        </w:rPr>
        <w:t xml:space="preserve"> acknowledges that there may be circumstances when an employee does not perform to the required standards.  This may happen because the employee does not have the necessary skills, knowledge and/ or experience.  The employee may not demonstrate the appropriate behaviours that are required. </w:t>
      </w:r>
    </w:p>
    <w:p w14:paraId="1BD7F3D7" w14:textId="77777777" w:rsidR="000846C2" w:rsidRPr="008A21C8" w:rsidRDefault="000846C2" w:rsidP="008A21C8">
      <w:pPr>
        <w:pStyle w:val="ListParagraph"/>
        <w:numPr>
          <w:ilvl w:val="0"/>
          <w:numId w:val="0"/>
        </w:numPr>
        <w:rPr>
          <w:rFonts w:ascii="Arial" w:hAnsi="Arial" w:cs="Arial"/>
        </w:rPr>
      </w:pPr>
      <w:r w:rsidRPr="008A21C8">
        <w:rPr>
          <w:rFonts w:ascii="Arial" w:hAnsi="Arial" w:cs="Arial"/>
        </w:rPr>
        <w:t xml:space="preserve">This policy aims, through advice and support, to improve to an acceptable level as set by the school, the performance of the employee who is causing concern. </w:t>
      </w:r>
    </w:p>
    <w:p w14:paraId="4F436398" w14:textId="07C681C1" w:rsidR="000846C2" w:rsidRPr="00012455" w:rsidRDefault="000846C2" w:rsidP="008A21C8">
      <w:pPr>
        <w:pStyle w:val="ListParagraph"/>
        <w:numPr>
          <w:ilvl w:val="0"/>
          <w:numId w:val="0"/>
        </w:numPr>
        <w:rPr>
          <w:rFonts w:ascii="Arial" w:hAnsi="Arial" w:cs="Arial"/>
        </w:rPr>
      </w:pPr>
      <w:r w:rsidRPr="008A21C8">
        <w:rPr>
          <w:rFonts w:ascii="Arial" w:hAnsi="Arial" w:cs="Arial"/>
        </w:rPr>
        <w:t>Where poor work performance is assessed to be due to a deliberate or wilful failure to fulfil the duties of an employee’s role and/or a deliberate lack of care, the matter will be dealt with under the School’s Disciplinary Procedure as this is a conduct concern.</w:t>
      </w:r>
      <w:r w:rsidRPr="00012455">
        <w:rPr>
          <w:rFonts w:ascii="Arial" w:hAnsi="Arial" w:cs="Arial"/>
        </w:rPr>
        <w:t xml:space="preserve"> </w:t>
      </w:r>
      <w:r w:rsidR="00537E44">
        <w:rPr>
          <w:rFonts w:ascii="Arial" w:hAnsi="Arial" w:cs="Arial"/>
        </w:rPr>
        <w:t>(See link at the end of this document.)</w:t>
      </w:r>
    </w:p>
    <w:p w14:paraId="45084AB0" w14:textId="083CF7D6" w:rsidR="00712D0A" w:rsidRPr="00012455" w:rsidRDefault="00780F0D" w:rsidP="00012455">
      <w:pPr>
        <w:pStyle w:val="Heading2"/>
      </w:pPr>
      <w:r w:rsidRPr="00012455">
        <w:t xml:space="preserve">2. </w:t>
      </w:r>
      <w:r w:rsidR="00712D0A" w:rsidRPr="00012455">
        <w:t xml:space="preserve">Application of the procedure </w:t>
      </w:r>
    </w:p>
    <w:p w14:paraId="6A262A3C" w14:textId="5AC66CB1" w:rsidR="00712D0A" w:rsidRPr="00012455" w:rsidRDefault="00712D0A" w:rsidP="00780F0D">
      <w:pPr>
        <w:spacing w:after="0" w:line="240" w:lineRule="auto"/>
        <w:rPr>
          <w:rFonts w:ascii="Arial" w:hAnsi="Arial" w:cs="Arial"/>
        </w:rPr>
      </w:pPr>
      <w:r w:rsidRPr="008A21C8">
        <w:rPr>
          <w:rFonts w:ascii="Arial" w:hAnsi="Arial" w:cs="Arial"/>
        </w:rPr>
        <w:t>This procedure applies to teachers or headteachers</w:t>
      </w:r>
      <w:r w:rsidRPr="00012455">
        <w:rPr>
          <w:rFonts w:ascii="Arial" w:hAnsi="Arial" w:cs="Arial"/>
        </w:rPr>
        <w:t xml:space="preserve"> about whose performance there are serious concerns that the appraisal process has been unable to address.</w:t>
      </w:r>
      <w:r w:rsidR="006A773A" w:rsidRPr="00012455">
        <w:rPr>
          <w:rFonts w:ascii="Arial" w:hAnsi="Arial" w:cs="Arial"/>
        </w:rPr>
        <w:t xml:space="preserve"> </w:t>
      </w:r>
    </w:p>
    <w:p w14:paraId="6F5F168C" w14:textId="77777777" w:rsidR="0063463A" w:rsidRPr="00012455" w:rsidRDefault="0063463A" w:rsidP="0063463A">
      <w:pPr>
        <w:spacing w:after="0" w:line="240" w:lineRule="auto"/>
        <w:ind w:left="360"/>
        <w:rPr>
          <w:rFonts w:ascii="Arial" w:hAnsi="Arial" w:cs="Arial"/>
        </w:rPr>
      </w:pPr>
    </w:p>
    <w:p w14:paraId="1A0249CB" w14:textId="4EF074CF" w:rsidR="0063463A" w:rsidRPr="00012455" w:rsidRDefault="00712D0A" w:rsidP="00780F0D">
      <w:pPr>
        <w:tabs>
          <w:tab w:val="left" w:pos="426"/>
        </w:tabs>
        <w:spacing w:after="0" w:line="240" w:lineRule="auto"/>
        <w:rPr>
          <w:rFonts w:ascii="Arial" w:hAnsi="Arial" w:cs="Arial"/>
        </w:rPr>
      </w:pPr>
      <w:r w:rsidRPr="00012455">
        <w:rPr>
          <w:rFonts w:ascii="Arial" w:hAnsi="Arial" w:cs="Arial"/>
        </w:rPr>
        <w:t>Where there are concerns about the performance of the headteacher, the professional capability procedure will be conducted by the Chair of Governors (or other governor nominated by the Governing Body) supported by a suitably skilled and/or experienced external adviser who has been appointed by the Governing Body for that purpose.</w:t>
      </w:r>
      <w:r w:rsidR="0063463A" w:rsidRPr="00012455">
        <w:rPr>
          <w:rFonts w:ascii="Arial" w:hAnsi="Arial" w:cs="Arial"/>
        </w:rPr>
        <w:br/>
      </w:r>
    </w:p>
    <w:p w14:paraId="34285EF3" w14:textId="77777777" w:rsidR="000846C2" w:rsidRPr="00012455" w:rsidRDefault="00712D0A" w:rsidP="00780F0D">
      <w:pPr>
        <w:spacing w:after="0" w:line="240" w:lineRule="auto"/>
        <w:rPr>
          <w:rFonts w:ascii="Arial" w:hAnsi="Arial" w:cs="Arial"/>
          <w:i/>
        </w:rPr>
      </w:pPr>
      <w:r w:rsidRPr="008A21C8">
        <w:rPr>
          <w:rFonts w:ascii="Arial" w:hAnsi="Arial" w:cs="Arial"/>
        </w:rPr>
        <w:t>The policy also applies to all support staff employed by the school.</w:t>
      </w:r>
      <w:r w:rsidRPr="00012455">
        <w:rPr>
          <w:rFonts w:ascii="Arial" w:hAnsi="Arial" w:cs="Arial"/>
        </w:rPr>
        <w:t xml:space="preserve"> </w:t>
      </w:r>
    </w:p>
    <w:p w14:paraId="30744392" w14:textId="77777777" w:rsidR="000846C2" w:rsidRPr="00012455" w:rsidRDefault="000846C2" w:rsidP="000846C2">
      <w:pPr>
        <w:spacing w:after="0" w:line="240" w:lineRule="auto"/>
        <w:rPr>
          <w:rFonts w:ascii="Arial" w:hAnsi="Arial" w:cs="Arial"/>
        </w:rPr>
      </w:pPr>
    </w:p>
    <w:p w14:paraId="1C64412E" w14:textId="56BB52AF" w:rsidR="00712D0A" w:rsidRPr="00012455" w:rsidRDefault="000846C2" w:rsidP="003B47BF">
      <w:pPr>
        <w:spacing w:after="0" w:line="240" w:lineRule="auto"/>
        <w:rPr>
          <w:rFonts w:ascii="Arial" w:hAnsi="Arial" w:cs="Arial"/>
          <w:i/>
        </w:rPr>
      </w:pPr>
      <w:r w:rsidRPr="008A21C8">
        <w:rPr>
          <w:rFonts w:ascii="Arial" w:hAnsi="Arial" w:cs="Arial"/>
        </w:rPr>
        <w:t>It does not apply to volunteers, contractors, agency workers.</w:t>
      </w:r>
      <w:r w:rsidRPr="00012455">
        <w:rPr>
          <w:rFonts w:ascii="Arial" w:hAnsi="Arial" w:cs="Arial"/>
        </w:rPr>
        <w:t xml:space="preserve"> </w:t>
      </w:r>
      <w:r w:rsidR="0063463A" w:rsidRPr="00012455">
        <w:rPr>
          <w:rFonts w:ascii="Arial" w:hAnsi="Arial" w:cs="Arial"/>
          <w:i/>
        </w:rPr>
        <w:br/>
      </w:r>
    </w:p>
    <w:p w14:paraId="4D254C7D" w14:textId="7AC05DD9" w:rsidR="00712D0A" w:rsidRPr="00012455" w:rsidRDefault="00712D0A" w:rsidP="00780F0D">
      <w:pPr>
        <w:spacing w:after="0" w:line="240" w:lineRule="auto"/>
        <w:rPr>
          <w:rFonts w:ascii="Arial" w:hAnsi="Arial" w:cs="Arial"/>
          <w:i/>
        </w:rPr>
      </w:pPr>
      <w:r w:rsidRPr="00012455">
        <w:rPr>
          <w:rFonts w:ascii="Arial" w:hAnsi="Arial" w:cs="Arial"/>
        </w:rPr>
        <w:t xml:space="preserve">Advice and guidance on the application of this procedure is available from the Schools’ HR </w:t>
      </w:r>
      <w:r w:rsidR="0063463A" w:rsidRPr="00012455">
        <w:rPr>
          <w:rFonts w:ascii="Arial" w:hAnsi="Arial" w:cs="Arial"/>
        </w:rPr>
        <w:t>Adviser</w:t>
      </w:r>
      <w:r w:rsidRPr="00012455">
        <w:rPr>
          <w:rFonts w:ascii="Arial" w:hAnsi="Arial" w:cs="Arial"/>
        </w:rPr>
        <w:t>.</w:t>
      </w:r>
    </w:p>
    <w:p w14:paraId="76AA638E" w14:textId="3CEE2667" w:rsidR="00712D0A" w:rsidRPr="0049738A" w:rsidRDefault="00712D0A" w:rsidP="00012455">
      <w:pPr>
        <w:pStyle w:val="Heading2"/>
        <w:numPr>
          <w:ilvl w:val="0"/>
          <w:numId w:val="43"/>
        </w:numPr>
        <w:ind w:left="284" w:hanging="284"/>
        <w:rPr>
          <w:rFonts w:ascii="Arial" w:hAnsi="Arial" w:cs="Arial"/>
        </w:rPr>
      </w:pPr>
      <w:r w:rsidRPr="0049738A">
        <w:rPr>
          <w:rFonts w:ascii="Arial" w:hAnsi="Arial" w:cs="Arial"/>
        </w:rPr>
        <w:t xml:space="preserve">Transition to capability </w:t>
      </w:r>
    </w:p>
    <w:p w14:paraId="0209AFD5" w14:textId="73BE15AB" w:rsidR="0063463A" w:rsidRPr="00012455" w:rsidRDefault="00712D0A" w:rsidP="00780F0D">
      <w:pPr>
        <w:spacing w:after="0" w:line="240" w:lineRule="auto"/>
        <w:rPr>
          <w:rFonts w:ascii="Arial" w:hAnsi="Arial" w:cs="Arial"/>
        </w:rPr>
      </w:pPr>
      <w:r w:rsidRPr="00012455">
        <w:rPr>
          <w:rFonts w:ascii="Arial" w:hAnsi="Arial" w:cs="Arial"/>
        </w:rPr>
        <w:t>If, following a period of support and monitoring under the</w:t>
      </w:r>
      <w:r w:rsidR="00C07C8A">
        <w:rPr>
          <w:rFonts w:ascii="Arial" w:hAnsi="Arial" w:cs="Arial"/>
        </w:rPr>
        <w:t xml:space="preserve"> </w:t>
      </w:r>
      <w:r w:rsidRPr="00012455">
        <w:rPr>
          <w:rFonts w:ascii="Arial" w:hAnsi="Arial" w:cs="Arial"/>
        </w:rPr>
        <w:t>Appraisal Policy</w:t>
      </w:r>
      <w:r w:rsidR="00C07C8A">
        <w:rPr>
          <w:rFonts w:ascii="Arial" w:hAnsi="Arial" w:cs="Arial"/>
        </w:rPr>
        <w:t xml:space="preserve"> for Teachers or Appraisal Policy for Support Staff</w:t>
      </w:r>
      <w:r w:rsidRPr="00012455">
        <w:rPr>
          <w:rFonts w:ascii="Arial" w:hAnsi="Arial" w:cs="Arial"/>
        </w:rPr>
        <w:t xml:space="preserve">, the appraiser / headteacher is not satisfied with progress, the employee will be notified in writing that the appraisal system will no longer apply and that their performance will be managed under the Professional Capability Procedure. </w:t>
      </w:r>
      <w:r w:rsidR="0063463A" w:rsidRPr="00012455">
        <w:rPr>
          <w:rFonts w:ascii="Arial" w:hAnsi="Arial" w:cs="Arial"/>
        </w:rPr>
        <w:t>The employee</w:t>
      </w:r>
      <w:r w:rsidRPr="00012455">
        <w:rPr>
          <w:rFonts w:ascii="Arial" w:hAnsi="Arial" w:cs="Arial"/>
        </w:rPr>
        <w:t xml:space="preserve"> will be invited to a formal </w:t>
      </w:r>
      <w:r w:rsidRPr="00012455">
        <w:rPr>
          <w:rFonts w:ascii="Arial" w:hAnsi="Arial" w:cs="Arial"/>
        </w:rPr>
        <w:lastRenderedPageBreak/>
        <w:t xml:space="preserve">capability meeting.  </w:t>
      </w:r>
      <w:r w:rsidR="0063463A" w:rsidRPr="00012455">
        <w:rPr>
          <w:rFonts w:ascii="Arial" w:hAnsi="Arial" w:cs="Arial"/>
        </w:rPr>
        <w:br/>
      </w:r>
    </w:p>
    <w:p w14:paraId="66BB9A37" w14:textId="0D9D25B4" w:rsidR="00712D0A" w:rsidRPr="00012455" w:rsidRDefault="00712D0A" w:rsidP="00780F0D">
      <w:pPr>
        <w:spacing w:after="0" w:line="240" w:lineRule="auto"/>
        <w:rPr>
          <w:rFonts w:ascii="Arial" w:hAnsi="Arial" w:cs="Arial"/>
        </w:rPr>
      </w:pPr>
      <w:r w:rsidRPr="00012455">
        <w:rPr>
          <w:rFonts w:ascii="Arial" w:hAnsi="Arial" w:cs="Arial"/>
        </w:rPr>
        <w:t xml:space="preserve">At least </w:t>
      </w:r>
      <w:r w:rsidR="00537E44">
        <w:rPr>
          <w:rFonts w:ascii="Arial" w:hAnsi="Arial" w:cs="Arial"/>
        </w:rPr>
        <w:t>10</w:t>
      </w:r>
      <w:r w:rsidRPr="00012455">
        <w:rPr>
          <w:rFonts w:ascii="Arial" w:hAnsi="Arial" w:cs="Arial"/>
        </w:rPr>
        <w:t xml:space="preserve"> working days’ written notice will be given of the formal capability meeting.  The notification will contain sufficient information about the </w:t>
      </w:r>
      <w:r w:rsidR="00537E44">
        <w:rPr>
          <w:rFonts w:ascii="Arial" w:hAnsi="Arial" w:cs="Arial"/>
        </w:rPr>
        <w:t xml:space="preserve">support that has been provided to the employee, </w:t>
      </w:r>
      <w:r w:rsidRPr="00012455">
        <w:rPr>
          <w:rFonts w:ascii="Arial" w:hAnsi="Arial" w:cs="Arial"/>
        </w:rPr>
        <w:t>concerns about performance and their possible consequences to enable the employee to prepare to answer the case at a formal capability meeting.  It will also contain copies of any written evidence; the details of the time and place of the meeting; and will advise the employee of their right to be accompanied by a companion who may be a colleague, a trade union official, or a trade union representative who has been certified by their union as being competent.</w:t>
      </w:r>
      <w:r w:rsidR="00340FFC">
        <w:rPr>
          <w:rFonts w:ascii="Arial" w:hAnsi="Arial" w:cs="Arial"/>
        </w:rPr>
        <w:t xml:space="preserve"> </w:t>
      </w:r>
      <w:r w:rsidR="00340FFC" w:rsidRPr="00340FFC">
        <w:rPr>
          <w:rFonts w:ascii="Arial" w:hAnsi="Arial" w:cs="Arial"/>
        </w:rPr>
        <w:t>There is no right to legal representation at any stage of this policy.</w:t>
      </w:r>
    </w:p>
    <w:p w14:paraId="31CC6986" w14:textId="09F8F82D" w:rsidR="00002C06" w:rsidRPr="00012455" w:rsidRDefault="00002C06" w:rsidP="00780F0D">
      <w:pPr>
        <w:spacing w:after="0" w:line="240" w:lineRule="auto"/>
        <w:rPr>
          <w:rFonts w:ascii="Arial" w:hAnsi="Arial" w:cs="Arial"/>
        </w:rPr>
      </w:pPr>
    </w:p>
    <w:p w14:paraId="7ECBFE60" w14:textId="77777777" w:rsidR="00002C06" w:rsidRPr="00012455" w:rsidRDefault="00002C06" w:rsidP="00780F0D">
      <w:pPr>
        <w:widowControl w:val="0"/>
        <w:rPr>
          <w:rFonts w:ascii="Arial" w:hAnsi="Arial" w:cs="Arial"/>
        </w:rPr>
      </w:pPr>
      <w:r w:rsidRPr="008A21C8">
        <w:rPr>
          <w:rFonts w:ascii="Arial" w:hAnsi="Arial" w:cs="Arial"/>
        </w:rPr>
        <w:t xml:space="preserve">The </w:t>
      </w:r>
      <w:proofErr w:type="gramStart"/>
      <w:r w:rsidRPr="008A21C8">
        <w:rPr>
          <w:rFonts w:ascii="Arial" w:hAnsi="Arial" w:cs="Arial"/>
        </w:rPr>
        <w:t>School</w:t>
      </w:r>
      <w:proofErr w:type="gramEnd"/>
      <w:r w:rsidRPr="008A21C8">
        <w:rPr>
          <w:rFonts w:ascii="Arial" w:hAnsi="Arial" w:cs="Arial"/>
        </w:rPr>
        <w:t xml:space="preserve"> expects that the employee and their representative will make all reasonable efforts to attend the meeting date and time. If it is not possible, the employee may propose an alternative date and/ or time.  This should be within </w:t>
      </w:r>
      <w:r w:rsidRPr="008A21C8">
        <w:rPr>
          <w:rFonts w:ascii="Arial" w:hAnsi="Arial" w:cs="Arial"/>
          <w:b/>
        </w:rPr>
        <w:t>5 working days</w:t>
      </w:r>
      <w:r w:rsidRPr="008A21C8">
        <w:rPr>
          <w:rFonts w:ascii="Arial" w:hAnsi="Arial" w:cs="Arial"/>
        </w:rPr>
        <w:t xml:space="preserve"> of the original meeting.</w:t>
      </w:r>
    </w:p>
    <w:p w14:paraId="283135EE" w14:textId="0B1B5E4C" w:rsidR="00712D0A" w:rsidRPr="0049738A" w:rsidRDefault="00712D0A" w:rsidP="00012455">
      <w:pPr>
        <w:pStyle w:val="Heading2"/>
        <w:numPr>
          <w:ilvl w:val="0"/>
          <w:numId w:val="43"/>
        </w:numPr>
        <w:tabs>
          <w:tab w:val="left" w:pos="426"/>
        </w:tabs>
        <w:ind w:left="0" w:firstLine="0"/>
        <w:rPr>
          <w:rFonts w:ascii="Arial" w:hAnsi="Arial" w:cs="Arial"/>
        </w:rPr>
      </w:pPr>
      <w:r w:rsidRPr="0049738A">
        <w:rPr>
          <w:rFonts w:ascii="Arial" w:hAnsi="Arial" w:cs="Arial"/>
        </w:rPr>
        <w:t xml:space="preserve">Formal capability meeting </w:t>
      </w:r>
      <w:r w:rsidR="008D6F5B">
        <w:rPr>
          <w:rFonts w:ascii="Arial" w:hAnsi="Arial" w:cs="Arial"/>
        </w:rPr>
        <w:t>(Stage 1)</w:t>
      </w:r>
    </w:p>
    <w:p w14:paraId="02EEB68B" w14:textId="028AB6C0" w:rsidR="00712D0A" w:rsidRPr="00012455" w:rsidRDefault="00712D0A" w:rsidP="00780F0D">
      <w:pPr>
        <w:spacing w:after="0" w:line="240" w:lineRule="auto"/>
        <w:rPr>
          <w:rFonts w:ascii="Arial" w:hAnsi="Arial" w:cs="Arial"/>
        </w:rPr>
      </w:pPr>
      <w:r w:rsidRPr="00012455">
        <w:rPr>
          <w:rFonts w:ascii="Arial" w:hAnsi="Arial" w:cs="Arial"/>
        </w:rPr>
        <w:t xml:space="preserve">This meeting is intended to establish the facts.  It will be conducted by the Chair of Governors or another nominated governor (for headteacher capability meetings) or the headteacher or senior manager (for other teachers and support staff). The meeting allows the employee, accompanied if they wish, to respond to concerns about their performance and to make any relevant representations.  This may provide new information or a different context to the information / evidence already collected.  </w:t>
      </w:r>
    </w:p>
    <w:p w14:paraId="443AD2DF" w14:textId="023BFC59" w:rsidR="00712D0A" w:rsidRPr="00012455" w:rsidRDefault="00780F0D" w:rsidP="00780F0D">
      <w:pPr>
        <w:widowControl w:val="0"/>
        <w:overflowPunct w:val="0"/>
        <w:autoSpaceDE w:val="0"/>
        <w:autoSpaceDN w:val="0"/>
        <w:adjustRightInd w:val="0"/>
        <w:spacing w:after="0" w:line="240" w:lineRule="auto"/>
        <w:textAlignment w:val="baseline"/>
        <w:rPr>
          <w:rFonts w:ascii="Arial" w:hAnsi="Arial" w:cs="Arial"/>
        </w:rPr>
      </w:pPr>
      <w:r w:rsidRPr="00012455">
        <w:rPr>
          <w:rFonts w:ascii="Arial" w:hAnsi="Arial" w:cs="Arial"/>
        </w:rPr>
        <w:br/>
      </w:r>
      <w:r w:rsidR="00712D0A" w:rsidRPr="00012455">
        <w:rPr>
          <w:rFonts w:ascii="Arial" w:hAnsi="Arial" w:cs="Arial"/>
        </w:rPr>
        <w:t xml:space="preserve">The person conducting the meeting may conclude that there are insufficient grounds for pursuing the capability issue and that it would be more appropriate to continue to address the remaining concerns through the appraisal process. </w:t>
      </w:r>
      <w:r w:rsidR="00712D0A" w:rsidRPr="008A21C8">
        <w:rPr>
          <w:rFonts w:ascii="Arial" w:hAnsi="Arial" w:cs="Arial"/>
        </w:rPr>
        <w:t>In such cases, the capability procedure will come to an end. The person conducting the meeting may also adjourn the meeting for example if they decide that further investigation is needed, or that more time is needed in which to consider any additional information.</w:t>
      </w:r>
    </w:p>
    <w:p w14:paraId="08721A2B" w14:textId="524CA039" w:rsidR="00712D0A" w:rsidRPr="00012455" w:rsidRDefault="00780F0D" w:rsidP="00780F0D">
      <w:pPr>
        <w:spacing w:after="0" w:line="240" w:lineRule="auto"/>
        <w:rPr>
          <w:rFonts w:ascii="Arial" w:hAnsi="Arial" w:cs="Arial"/>
        </w:rPr>
      </w:pPr>
      <w:r w:rsidRPr="00012455">
        <w:rPr>
          <w:rFonts w:ascii="Arial" w:hAnsi="Arial" w:cs="Arial"/>
        </w:rPr>
        <w:br/>
      </w:r>
      <w:r w:rsidR="00712D0A" w:rsidRPr="00012455">
        <w:rPr>
          <w:rFonts w:ascii="Arial" w:hAnsi="Arial" w:cs="Arial"/>
        </w:rPr>
        <w:t>In other cases, the meeting will continue.  During the meeting, the person conducting the meeting will:</w:t>
      </w:r>
    </w:p>
    <w:p w14:paraId="10002C97" w14:textId="77777777" w:rsidR="00712D0A" w:rsidRPr="00012455" w:rsidRDefault="00712D0A" w:rsidP="00780F0D">
      <w:pPr>
        <w:widowControl w:val="0"/>
        <w:numPr>
          <w:ilvl w:val="0"/>
          <w:numId w:val="31"/>
        </w:numPr>
        <w:overflowPunct w:val="0"/>
        <w:autoSpaceDE w:val="0"/>
        <w:autoSpaceDN w:val="0"/>
        <w:adjustRightInd w:val="0"/>
        <w:spacing w:after="0" w:line="240" w:lineRule="auto"/>
        <w:ind w:left="709"/>
        <w:textAlignment w:val="baseline"/>
        <w:rPr>
          <w:rFonts w:ascii="Arial" w:hAnsi="Arial" w:cs="Arial"/>
        </w:rPr>
      </w:pPr>
      <w:r w:rsidRPr="00012455">
        <w:rPr>
          <w:rFonts w:ascii="Arial" w:hAnsi="Arial" w:cs="Arial"/>
        </w:rPr>
        <w:t xml:space="preserve">identify the professional shortcomings, for example which of the standards expected of teachers are not being </w:t>
      </w:r>
      <w:proofErr w:type="gramStart"/>
      <w:r w:rsidRPr="00012455">
        <w:rPr>
          <w:rFonts w:ascii="Arial" w:hAnsi="Arial" w:cs="Arial"/>
        </w:rPr>
        <w:t>met;</w:t>
      </w:r>
      <w:proofErr w:type="gramEnd"/>
      <w:r w:rsidRPr="00012455">
        <w:rPr>
          <w:rFonts w:ascii="Arial" w:hAnsi="Arial" w:cs="Arial"/>
        </w:rPr>
        <w:t xml:space="preserve"> </w:t>
      </w:r>
    </w:p>
    <w:p w14:paraId="71BB5426" w14:textId="77777777" w:rsidR="00712D0A" w:rsidRPr="00012455" w:rsidRDefault="00712D0A" w:rsidP="00780F0D">
      <w:pPr>
        <w:widowControl w:val="0"/>
        <w:numPr>
          <w:ilvl w:val="0"/>
          <w:numId w:val="31"/>
        </w:numPr>
        <w:overflowPunct w:val="0"/>
        <w:autoSpaceDE w:val="0"/>
        <w:autoSpaceDN w:val="0"/>
        <w:adjustRightInd w:val="0"/>
        <w:spacing w:after="0" w:line="240" w:lineRule="auto"/>
        <w:ind w:left="709"/>
        <w:textAlignment w:val="baseline"/>
        <w:rPr>
          <w:rFonts w:ascii="Arial" w:hAnsi="Arial" w:cs="Arial"/>
        </w:rPr>
      </w:pPr>
      <w:r w:rsidRPr="00012455">
        <w:rPr>
          <w:rFonts w:ascii="Arial" w:hAnsi="Arial" w:cs="Arial"/>
        </w:rPr>
        <w:t>give clear guidance on the improved standard of performance needed to ensure that the employee can be removed from formal capability procedures (this will normally include the setting of objectives focused on the specific weaknesses that need to be addressed, any success criteria that might be appropriate and the evidence that will be used to assess whether or not the necessary improvement has been made</w:t>
      </w:r>
      <w:proofErr w:type="gramStart"/>
      <w:r w:rsidRPr="00012455">
        <w:rPr>
          <w:rFonts w:ascii="Arial" w:hAnsi="Arial" w:cs="Arial"/>
        </w:rPr>
        <w:t>);</w:t>
      </w:r>
      <w:proofErr w:type="gramEnd"/>
    </w:p>
    <w:p w14:paraId="3A9837F5" w14:textId="77777777" w:rsidR="00712D0A" w:rsidRPr="00012455" w:rsidRDefault="00712D0A" w:rsidP="00780F0D">
      <w:pPr>
        <w:widowControl w:val="0"/>
        <w:numPr>
          <w:ilvl w:val="0"/>
          <w:numId w:val="31"/>
        </w:numPr>
        <w:overflowPunct w:val="0"/>
        <w:autoSpaceDE w:val="0"/>
        <w:autoSpaceDN w:val="0"/>
        <w:adjustRightInd w:val="0"/>
        <w:spacing w:after="0" w:line="240" w:lineRule="auto"/>
        <w:ind w:left="709"/>
        <w:textAlignment w:val="baseline"/>
        <w:rPr>
          <w:rFonts w:ascii="Arial" w:hAnsi="Arial" w:cs="Arial"/>
        </w:rPr>
      </w:pPr>
      <w:r w:rsidRPr="00012455">
        <w:rPr>
          <w:rFonts w:ascii="Arial" w:hAnsi="Arial" w:cs="Arial"/>
        </w:rPr>
        <w:t xml:space="preserve">provide an opportunity for the employee to respond to the concerns and make any </w:t>
      </w:r>
      <w:proofErr w:type="gramStart"/>
      <w:r w:rsidRPr="00012455">
        <w:rPr>
          <w:rFonts w:ascii="Arial" w:hAnsi="Arial" w:cs="Arial"/>
        </w:rPr>
        <w:t>representations;</w:t>
      </w:r>
      <w:proofErr w:type="gramEnd"/>
    </w:p>
    <w:p w14:paraId="7CA7791C" w14:textId="77777777" w:rsidR="00712D0A" w:rsidRPr="00012455" w:rsidRDefault="00712D0A" w:rsidP="00780F0D">
      <w:pPr>
        <w:widowControl w:val="0"/>
        <w:numPr>
          <w:ilvl w:val="0"/>
          <w:numId w:val="31"/>
        </w:numPr>
        <w:overflowPunct w:val="0"/>
        <w:autoSpaceDE w:val="0"/>
        <w:autoSpaceDN w:val="0"/>
        <w:adjustRightInd w:val="0"/>
        <w:spacing w:after="0" w:line="240" w:lineRule="auto"/>
        <w:ind w:left="709"/>
        <w:textAlignment w:val="baseline"/>
        <w:rPr>
          <w:rFonts w:ascii="Arial" w:hAnsi="Arial" w:cs="Arial"/>
        </w:rPr>
      </w:pPr>
      <w:r w:rsidRPr="00012455">
        <w:rPr>
          <w:rFonts w:ascii="Arial" w:hAnsi="Arial" w:cs="Arial"/>
        </w:rPr>
        <w:t xml:space="preserve">explain any support that will be available to help the employee improve their </w:t>
      </w:r>
      <w:proofErr w:type="gramStart"/>
      <w:r w:rsidRPr="00012455">
        <w:rPr>
          <w:rFonts w:ascii="Arial" w:hAnsi="Arial" w:cs="Arial"/>
        </w:rPr>
        <w:t>performance;</w:t>
      </w:r>
      <w:proofErr w:type="gramEnd"/>
    </w:p>
    <w:p w14:paraId="3FDE0F79" w14:textId="77777777" w:rsidR="00712D0A" w:rsidRPr="00C80FA4" w:rsidRDefault="00712D0A" w:rsidP="00C80FA4">
      <w:pPr>
        <w:pStyle w:val="ListParagraph"/>
        <w:widowControl w:val="0"/>
        <w:numPr>
          <w:ilvl w:val="0"/>
          <w:numId w:val="31"/>
        </w:numPr>
        <w:overflowPunct w:val="0"/>
        <w:autoSpaceDE w:val="0"/>
        <w:autoSpaceDN w:val="0"/>
        <w:adjustRightInd w:val="0"/>
        <w:spacing w:after="0" w:line="240" w:lineRule="auto"/>
        <w:textAlignment w:val="baseline"/>
        <w:rPr>
          <w:rFonts w:ascii="Arial" w:hAnsi="Arial" w:cs="Arial"/>
        </w:rPr>
      </w:pPr>
      <w:r w:rsidRPr="00C80FA4">
        <w:rPr>
          <w:rFonts w:ascii="Arial" w:hAnsi="Arial" w:cs="Arial"/>
        </w:rPr>
        <w:t xml:space="preserve">set out the timetable for improvement and explain how performance will be </w:t>
      </w:r>
      <w:r w:rsidRPr="00C80FA4">
        <w:rPr>
          <w:rFonts w:ascii="Arial" w:hAnsi="Arial" w:cs="Arial"/>
        </w:rPr>
        <w:lastRenderedPageBreak/>
        <w:t>monitored and reviewed. The timetable will depend on the circumstances of the individual case but in straightforward cases will normally be a minimum of six working weeks.</w:t>
      </w:r>
      <w:r w:rsidRPr="00012455">
        <w:rPr>
          <w:rStyle w:val="FootnoteReference"/>
          <w:rFonts w:ascii="Arial" w:hAnsi="Arial" w:cs="Arial"/>
        </w:rPr>
        <w:footnoteReference w:id="1"/>
      </w:r>
      <w:r w:rsidRPr="00C80FA4">
        <w:rPr>
          <w:rFonts w:ascii="Arial" w:hAnsi="Arial" w:cs="Arial"/>
        </w:rPr>
        <w:t>; and</w:t>
      </w:r>
    </w:p>
    <w:p w14:paraId="450468CD" w14:textId="77777777" w:rsidR="00712D0A" w:rsidRPr="00012455" w:rsidRDefault="00712D0A" w:rsidP="00780F0D">
      <w:pPr>
        <w:widowControl w:val="0"/>
        <w:numPr>
          <w:ilvl w:val="0"/>
          <w:numId w:val="31"/>
        </w:numPr>
        <w:overflowPunct w:val="0"/>
        <w:autoSpaceDE w:val="0"/>
        <w:autoSpaceDN w:val="0"/>
        <w:adjustRightInd w:val="0"/>
        <w:spacing w:after="0" w:line="240" w:lineRule="auto"/>
        <w:ind w:left="709"/>
        <w:textAlignment w:val="baseline"/>
        <w:rPr>
          <w:rFonts w:ascii="Arial" w:hAnsi="Arial" w:cs="Arial"/>
        </w:rPr>
      </w:pPr>
      <w:r w:rsidRPr="00012455">
        <w:rPr>
          <w:rFonts w:ascii="Arial" w:hAnsi="Arial" w:cs="Arial"/>
        </w:rPr>
        <w:t xml:space="preserve">warn the employee formally that failure to improve within the set period could lead to dismissal.  This will normally be a first written warning but in very serious cases, a final written warning may be appropriate.   </w:t>
      </w:r>
    </w:p>
    <w:p w14:paraId="7C4F0FCA" w14:textId="4C58514C" w:rsidR="00712D0A" w:rsidRPr="008A21C8" w:rsidRDefault="00780F0D" w:rsidP="00780F0D">
      <w:pPr>
        <w:spacing w:after="0" w:line="240" w:lineRule="auto"/>
        <w:rPr>
          <w:rFonts w:ascii="Arial" w:hAnsi="Arial" w:cs="Arial"/>
        </w:rPr>
      </w:pPr>
      <w:r w:rsidRPr="00012455">
        <w:rPr>
          <w:rFonts w:ascii="Arial" w:hAnsi="Arial" w:cs="Arial"/>
          <w:highlight w:val="yellow"/>
        </w:rPr>
        <w:br/>
      </w:r>
      <w:r w:rsidR="00712D0A" w:rsidRPr="008A21C8">
        <w:rPr>
          <w:rFonts w:ascii="Arial" w:hAnsi="Arial" w:cs="Arial"/>
        </w:rPr>
        <w:t xml:space="preserve">Notes will be taken of the meeting and a copy given to the member of staff within three working days of the meeting. </w:t>
      </w:r>
    </w:p>
    <w:p w14:paraId="0EC389BA" w14:textId="6684F83F" w:rsidR="00712D0A" w:rsidRDefault="00780F0D" w:rsidP="00780F0D">
      <w:pPr>
        <w:spacing w:after="0" w:line="240" w:lineRule="auto"/>
        <w:rPr>
          <w:rFonts w:ascii="Arial" w:hAnsi="Arial" w:cs="Arial"/>
        </w:rPr>
      </w:pPr>
      <w:r w:rsidRPr="008A21C8">
        <w:rPr>
          <w:rFonts w:ascii="Arial" w:hAnsi="Arial" w:cs="Arial"/>
        </w:rPr>
        <w:br/>
      </w:r>
      <w:r w:rsidR="00712D0A" w:rsidRPr="008A21C8">
        <w:rPr>
          <w:rFonts w:ascii="Arial" w:hAnsi="Arial" w:cs="Arial"/>
        </w:rPr>
        <w:t>Where a warning is issued, the</w:t>
      </w:r>
      <w:r w:rsidR="00712D0A" w:rsidRPr="00012455">
        <w:rPr>
          <w:rFonts w:ascii="Arial" w:hAnsi="Arial" w:cs="Arial"/>
        </w:rPr>
        <w:t xml:space="preserve"> employee will be informed in writing </w:t>
      </w:r>
      <w:r w:rsidR="00D5516F">
        <w:rPr>
          <w:rFonts w:ascii="Arial" w:hAnsi="Arial" w:cs="Arial"/>
        </w:rPr>
        <w:t xml:space="preserve">within </w:t>
      </w:r>
      <w:r w:rsidR="005D5DA5">
        <w:rPr>
          <w:rFonts w:ascii="Arial" w:hAnsi="Arial" w:cs="Arial"/>
        </w:rPr>
        <w:t>10</w:t>
      </w:r>
      <w:r w:rsidR="00D5516F">
        <w:rPr>
          <w:rFonts w:ascii="Arial" w:hAnsi="Arial" w:cs="Arial"/>
        </w:rPr>
        <w:t xml:space="preserve"> working days </w:t>
      </w:r>
      <w:r w:rsidR="00712D0A" w:rsidRPr="00012455">
        <w:rPr>
          <w:rFonts w:ascii="Arial" w:hAnsi="Arial" w:cs="Arial"/>
        </w:rPr>
        <w:t>of the matters covered in the bullet points above and given information about the timing and handling of the review stage and the procedure and time limits for appealing against the warning.</w:t>
      </w:r>
    </w:p>
    <w:p w14:paraId="2FED8328" w14:textId="45CD6721" w:rsidR="005D5DA5" w:rsidRDefault="005D5DA5" w:rsidP="00780F0D">
      <w:pPr>
        <w:spacing w:after="0" w:line="240" w:lineRule="auto"/>
        <w:rPr>
          <w:rFonts w:ascii="Arial" w:hAnsi="Arial" w:cs="Arial"/>
        </w:rPr>
      </w:pPr>
    </w:p>
    <w:p w14:paraId="21E29FF1" w14:textId="4EFC3695" w:rsidR="005D5DA5" w:rsidRDefault="005D5DA5" w:rsidP="005D5DA5">
      <w:pPr>
        <w:spacing w:after="0" w:line="240" w:lineRule="auto"/>
        <w:rPr>
          <w:rFonts w:ascii="Arial" w:hAnsi="Arial" w:cs="Arial"/>
        </w:rPr>
      </w:pPr>
      <w:r w:rsidRPr="005D5DA5">
        <w:rPr>
          <w:rFonts w:ascii="Arial" w:hAnsi="Arial" w:cs="Arial"/>
        </w:rPr>
        <w:t>Capability warnings will normally follow this progression:</w:t>
      </w:r>
    </w:p>
    <w:p w14:paraId="22CF9140" w14:textId="77777777" w:rsidR="005D5DA5" w:rsidRPr="005D5DA5" w:rsidRDefault="005D5DA5" w:rsidP="005D5DA5">
      <w:pPr>
        <w:spacing w:after="0" w:line="240" w:lineRule="auto"/>
        <w:rPr>
          <w:rFonts w:ascii="Arial" w:hAnsi="Arial" w:cs="Arial"/>
        </w:rPr>
      </w:pPr>
    </w:p>
    <w:p w14:paraId="0E1EA68A" w14:textId="5CD4B259" w:rsidR="005D5DA5" w:rsidRPr="005D5DA5" w:rsidRDefault="005D5DA5" w:rsidP="005D5DA5">
      <w:pPr>
        <w:spacing w:after="0" w:line="240" w:lineRule="auto"/>
        <w:rPr>
          <w:rFonts w:ascii="Arial" w:hAnsi="Arial" w:cs="Arial"/>
        </w:rPr>
      </w:pPr>
      <w:r w:rsidRPr="005D5DA5">
        <w:rPr>
          <w:rFonts w:ascii="Arial" w:hAnsi="Arial" w:cs="Arial"/>
        </w:rPr>
        <w:t>First Written Warning – 6 months</w:t>
      </w:r>
    </w:p>
    <w:p w14:paraId="73FA2F68" w14:textId="48E7A245" w:rsidR="005D5DA5" w:rsidRPr="00012455" w:rsidRDefault="005D5DA5" w:rsidP="005D5DA5">
      <w:pPr>
        <w:spacing w:after="0" w:line="240" w:lineRule="auto"/>
        <w:rPr>
          <w:rFonts w:ascii="Arial" w:hAnsi="Arial" w:cs="Arial"/>
        </w:rPr>
      </w:pPr>
      <w:r w:rsidRPr="005D5DA5">
        <w:rPr>
          <w:rFonts w:ascii="Arial" w:hAnsi="Arial" w:cs="Arial"/>
        </w:rPr>
        <w:t>Final Written Warning – 12 months</w:t>
      </w:r>
    </w:p>
    <w:p w14:paraId="2CC79C2E" w14:textId="3EE4B6E8" w:rsidR="00712D0A" w:rsidRPr="00012455" w:rsidRDefault="00012455" w:rsidP="00012455">
      <w:pPr>
        <w:pStyle w:val="Heading2"/>
      </w:pPr>
      <w:r>
        <w:t xml:space="preserve">5. </w:t>
      </w:r>
      <w:r w:rsidR="00712D0A" w:rsidRPr="00012455">
        <w:t xml:space="preserve">Monitoring and review period following a formal capability meeting </w:t>
      </w:r>
    </w:p>
    <w:p w14:paraId="00BF5D84" w14:textId="77777777" w:rsidR="00712D0A" w:rsidRPr="0049738A" w:rsidRDefault="00712D0A" w:rsidP="00780F0D">
      <w:pPr>
        <w:tabs>
          <w:tab w:val="left" w:pos="426"/>
        </w:tabs>
        <w:spacing w:after="0" w:line="240" w:lineRule="auto"/>
        <w:rPr>
          <w:rFonts w:ascii="Arial" w:hAnsi="Arial" w:cs="Arial"/>
        </w:rPr>
      </w:pPr>
      <w:r w:rsidRPr="0049738A">
        <w:rPr>
          <w:rFonts w:ascii="Arial" w:hAnsi="Arial" w:cs="Arial"/>
        </w:rPr>
        <w:t>A performance monitoring and review period will follow the formal capability meeting. Formal monitoring, evaluation, guidance and support will continue during this period. At the end of this period, the member of staff will be invited to a formal review meeting, unless they were issued with a final written warning, in which case they will be invited to a decision meeting (see below).</w:t>
      </w:r>
    </w:p>
    <w:p w14:paraId="0A20559C" w14:textId="1D8C31D3" w:rsidR="00712D0A" w:rsidRPr="00012455" w:rsidRDefault="00712D0A" w:rsidP="00D5516F">
      <w:pPr>
        <w:pStyle w:val="Heading2"/>
        <w:numPr>
          <w:ilvl w:val="0"/>
          <w:numId w:val="45"/>
        </w:numPr>
        <w:ind w:left="284" w:hanging="284"/>
      </w:pPr>
      <w:r w:rsidRPr="00012455">
        <w:t xml:space="preserve">Formal review meeting </w:t>
      </w:r>
      <w:r w:rsidR="008D6F5B">
        <w:t>(Stage 2)</w:t>
      </w:r>
    </w:p>
    <w:p w14:paraId="1581008A" w14:textId="20ED2124" w:rsidR="00712D0A" w:rsidRPr="00012455" w:rsidRDefault="00712D0A" w:rsidP="00780F0D">
      <w:pPr>
        <w:spacing w:after="0" w:line="240" w:lineRule="auto"/>
        <w:rPr>
          <w:rFonts w:ascii="Arial" w:hAnsi="Arial" w:cs="Arial"/>
        </w:rPr>
      </w:pPr>
      <w:r w:rsidRPr="00012455">
        <w:rPr>
          <w:rFonts w:ascii="Arial" w:hAnsi="Arial" w:cs="Arial"/>
        </w:rPr>
        <w:t xml:space="preserve">At least </w:t>
      </w:r>
      <w:r w:rsidR="005D5DA5">
        <w:rPr>
          <w:rFonts w:ascii="Arial" w:hAnsi="Arial" w:cs="Arial"/>
        </w:rPr>
        <w:t>10</w:t>
      </w:r>
      <w:r w:rsidRPr="00012455">
        <w:rPr>
          <w:rFonts w:ascii="Arial" w:hAnsi="Arial" w:cs="Arial"/>
        </w:rPr>
        <w:t xml:space="preserve"> working days’ notice will be </w:t>
      </w:r>
      <w:proofErr w:type="gramStart"/>
      <w:r w:rsidRPr="00012455">
        <w:rPr>
          <w:rFonts w:ascii="Arial" w:hAnsi="Arial" w:cs="Arial"/>
        </w:rPr>
        <w:t>given</w:t>
      </w:r>
      <w:proofErr w:type="gramEnd"/>
      <w:r w:rsidRPr="00012455">
        <w:rPr>
          <w:rFonts w:ascii="Arial" w:hAnsi="Arial" w:cs="Arial"/>
        </w:rPr>
        <w:t xml:space="preserve"> and the written notification will give details of the time and place of the meeting and will advise the employee of their right to be accompanied by a companion who may be a colleague, a trade union official, or a trade union representative who has been certified by their union as being competent. </w:t>
      </w:r>
    </w:p>
    <w:p w14:paraId="21ADE43D" w14:textId="2719C3EA" w:rsidR="009268C1" w:rsidRPr="00012455" w:rsidRDefault="009268C1" w:rsidP="00780F0D">
      <w:pPr>
        <w:spacing w:after="0" w:line="240" w:lineRule="auto"/>
        <w:rPr>
          <w:rFonts w:ascii="Arial" w:hAnsi="Arial" w:cs="Arial"/>
        </w:rPr>
      </w:pPr>
    </w:p>
    <w:p w14:paraId="4B6EAB6E" w14:textId="77777777" w:rsidR="009268C1" w:rsidRPr="00012455" w:rsidRDefault="009268C1" w:rsidP="00780F0D">
      <w:pPr>
        <w:widowControl w:val="0"/>
        <w:rPr>
          <w:rFonts w:ascii="Arial" w:hAnsi="Arial" w:cs="Arial"/>
        </w:rPr>
      </w:pPr>
      <w:r w:rsidRPr="008A21C8">
        <w:rPr>
          <w:rFonts w:ascii="Arial" w:hAnsi="Arial" w:cs="Arial"/>
        </w:rPr>
        <w:t xml:space="preserve">The </w:t>
      </w:r>
      <w:proofErr w:type="gramStart"/>
      <w:r w:rsidRPr="008A21C8">
        <w:rPr>
          <w:rFonts w:ascii="Arial" w:hAnsi="Arial" w:cs="Arial"/>
        </w:rPr>
        <w:t>School</w:t>
      </w:r>
      <w:proofErr w:type="gramEnd"/>
      <w:r w:rsidRPr="008A21C8">
        <w:rPr>
          <w:rFonts w:ascii="Arial" w:hAnsi="Arial" w:cs="Arial"/>
        </w:rPr>
        <w:t xml:space="preserve"> expects that the employee and their representative will make all reasonable efforts to attend the meeting date and time. If it is not possible, the employee may propose an alternative date and/ or time.  This should be within </w:t>
      </w:r>
      <w:r w:rsidRPr="008A21C8">
        <w:rPr>
          <w:rFonts w:ascii="Arial" w:hAnsi="Arial" w:cs="Arial"/>
          <w:b/>
        </w:rPr>
        <w:t>5 working days</w:t>
      </w:r>
      <w:r w:rsidRPr="008A21C8">
        <w:rPr>
          <w:rFonts w:ascii="Arial" w:hAnsi="Arial" w:cs="Arial"/>
        </w:rPr>
        <w:t xml:space="preserve"> of the original meeting.</w:t>
      </w:r>
    </w:p>
    <w:p w14:paraId="0C3AF518" w14:textId="23E9C1F1" w:rsidR="00712D0A" w:rsidRPr="00012455" w:rsidRDefault="00712D0A" w:rsidP="00780F0D">
      <w:pPr>
        <w:spacing w:after="0" w:line="240" w:lineRule="auto"/>
        <w:rPr>
          <w:rFonts w:ascii="Arial" w:hAnsi="Arial" w:cs="Arial"/>
        </w:rPr>
      </w:pPr>
      <w:r w:rsidRPr="00012455">
        <w:rPr>
          <w:rFonts w:ascii="Arial" w:hAnsi="Arial" w:cs="Arial"/>
        </w:rPr>
        <w:t>At the formal review meeting the person conducting the meeting will:</w:t>
      </w:r>
    </w:p>
    <w:p w14:paraId="59C1EE06" w14:textId="77777777" w:rsidR="00780F0D" w:rsidRPr="00012455" w:rsidRDefault="00780F0D" w:rsidP="00780F0D">
      <w:pPr>
        <w:spacing w:after="0" w:line="240" w:lineRule="auto"/>
        <w:rPr>
          <w:rFonts w:ascii="Arial" w:hAnsi="Arial" w:cs="Arial"/>
        </w:rPr>
      </w:pPr>
    </w:p>
    <w:p w14:paraId="4CD9542A" w14:textId="77777777" w:rsidR="00712D0A" w:rsidRPr="00012455" w:rsidRDefault="00712D0A" w:rsidP="00780F0D">
      <w:pPr>
        <w:numPr>
          <w:ilvl w:val="0"/>
          <w:numId w:val="32"/>
        </w:numPr>
        <w:spacing w:after="0" w:line="240" w:lineRule="auto"/>
        <w:ind w:left="709" w:hanging="425"/>
        <w:rPr>
          <w:rFonts w:ascii="Arial" w:hAnsi="Arial" w:cs="Arial"/>
        </w:rPr>
      </w:pPr>
      <w:r w:rsidRPr="00012455">
        <w:rPr>
          <w:rFonts w:ascii="Arial" w:hAnsi="Arial" w:cs="Arial"/>
        </w:rPr>
        <w:lastRenderedPageBreak/>
        <w:t xml:space="preserve">Remind the employee of the purpose of the Professional Capability </w:t>
      </w:r>
      <w:proofErr w:type="gramStart"/>
      <w:r w:rsidRPr="00012455">
        <w:rPr>
          <w:rFonts w:ascii="Arial" w:hAnsi="Arial" w:cs="Arial"/>
        </w:rPr>
        <w:t>procedure;</w:t>
      </w:r>
      <w:proofErr w:type="gramEnd"/>
    </w:p>
    <w:p w14:paraId="487E9CCF" w14:textId="77777777" w:rsidR="00712D0A" w:rsidRPr="00012455" w:rsidRDefault="00712D0A" w:rsidP="00780F0D">
      <w:pPr>
        <w:numPr>
          <w:ilvl w:val="0"/>
          <w:numId w:val="32"/>
        </w:numPr>
        <w:spacing w:after="0" w:line="240" w:lineRule="auto"/>
        <w:ind w:left="709" w:hanging="425"/>
        <w:rPr>
          <w:rFonts w:ascii="Arial" w:hAnsi="Arial" w:cs="Arial"/>
        </w:rPr>
      </w:pPr>
      <w:r w:rsidRPr="00012455">
        <w:rPr>
          <w:rFonts w:ascii="Arial" w:hAnsi="Arial" w:cs="Arial"/>
        </w:rPr>
        <w:t xml:space="preserve">Review the employee’s progress in achieving the improved standard of performance identified in the formal capability </w:t>
      </w:r>
      <w:proofErr w:type="gramStart"/>
      <w:r w:rsidRPr="00012455">
        <w:rPr>
          <w:rFonts w:ascii="Arial" w:hAnsi="Arial" w:cs="Arial"/>
        </w:rPr>
        <w:t>meeting;</w:t>
      </w:r>
      <w:proofErr w:type="gramEnd"/>
    </w:p>
    <w:p w14:paraId="3C528AF7" w14:textId="070EE19B" w:rsidR="00712D0A" w:rsidRPr="00012455" w:rsidRDefault="00712D0A" w:rsidP="00780F0D">
      <w:pPr>
        <w:numPr>
          <w:ilvl w:val="0"/>
          <w:numId w:val="32"/>
        </w:numPr>
        <w:spacing w:after="0" w:line="240" w:lineRule="auto"/>
        <w:ind w:left="709" w:hanging="425"/>
        <w:rPr>
          <w:rFonts w:ascii="Arial" w:hAnsi="Arial" w:cs="Arial"/>
        </w:rPr>
      </w:pPr>
      <w:r w:rsidRPr="00012455">
        <w:rPr>
          <w:rFonts w:ascii="Arial" w:hAnsi="Arial" w:cs="Arial"/>
        </w:rPr>
        <w:t xml:space="preserve">Provide the employee with an opportunity to respond to the assessment of </w:t>
      </w:r>
      <w:r w:rsidR="0063463A" w:rsidRPr="00012455">
        <w:rPr>
          <w:rFonts w:ascii="Arial" w:hAnsi="Arial" w:cs="Arial"/>
        </w:rPr>
        <w:t>their</w:t>
      </w:r>
      <w:r w:rsidRPr="00012455">
        <w:rPr>
          <w:rFonts w:ascii="Arial" w:hAnsi="Arial" w:cs="Arial"/>
        </w:rPr>
        <w:t xml:space="preserve"> performance and make any </w:t>
      </w:r>
      <w:proofErr w:type="gramStart"/>
      <w:r w:rsidRPr="00012455">
        <w:rPr>
          <w:rFonts w:ascii="Arial" w:hAnsi="Arial" w:cs="Arial"/>
        </w:rPr>
        <w:t>representations;</w:t>
      </w:r>
      <w:proofErr w:type="gramEnd"/>
    </w:p>
    <w:p w14:paraId="45A9F06F" w14:textId="77777777" w:rsidR="00712D0A" w:rsidRPr="00012455" w:rsidRDefault="00712D0A" w:rsidP="00780F0D">
      <w:pPr>
        <w:numPr>
          <w:ilvl w:val="0"/>
          <w:numId w:val="32"/>
        </w:numPr>
        <w:spacing w:after="0" w:line="240" w:lineRule="auto"/>
        <w:ind w:left="709" w:hanging="425"/>
        <w:rPr>
          <w:rFonts w:ascii="Arial" w:hAnsi="Arial" w:cs="Arial"/>
        </w:rPr>
      </w:pPr>
      <w:proofErr w:type="gramStart"/>
      <w:r w:rsidRPr="00012455">
        <w:rPr>
          <w:rFonts w:ascii="Arial" w:hAnsi="Arial" w:cs="Arial"/>
        </w:rPr>
        <w:t>Make a decision</w:t>
      </w:r>
      <w:proofErr w:type="gramEnd"/>
      <w:r w:rsidRPr="00012455">
        <w:rPr>
          <w:rFonts w:ascii="Arial" w:hAnsi="Arial" w:cs="Arial"/>
        </w:rPr>
        <w:t>, as follows:</w:t>
      </w:r>
    </w:p>
    <w:p w14:paraId="2379AFD6" w14:textId="52EB6887" w:rsidR="00712D0A" w:rsidRPr="00012455" w:rsidRDefault="00780F0D" w:rsidP="00780F0D">
      <w:pPr>
        <w:rPr>
          <w:rFonts w:ascii="Arial" w:hAnsi="Arial" w:cs="Arial"/>
          <w:b/>
          <w:bCs/>
          <w:u w:val="single"/>
        </w:rPr>
      </w:pPr>
      <w:r w:rsidRPr="00012455">
        <w:rPr>
          <w:rFonts w:ascii="Arial" w:hAnsi="Arial" w:cs="Arial"/>
          <w:b/>
          <w:bCs/>
          <w:u w:val="single"/>
        </w:rPr>
        <w:br/>
      </w:r>
      <w:r w:rsidR="00712D0A" w:rsidRPr="00012455">
        <w:rPr>
          <w:rFonts w:ascii="Arial" w:hAnsi="Arial" w:cs="Arial"/>
          <w:b/>
          <w:bCs/>
          <w:u w:val="single"/>
        </w:rPr>
        <w:t>EITHER</w:t>
      </w:r>
    </w:p>
    <w:p w14:paraId="0E5B7299" w14:textId="77777777" w:rsidR="00712D0A" w:rsidRPr="00012455" w:rsidRDefault="00712D0A" w:rsidP="00780F0D">
      <w:pPr>
        <w:spacing w:after="0" w:line="240" w:lineRule="auto"/>
        <w:rPr>
          <w:rFonts w:ascii="Arial" w:hAnsi="Arial" w:cs="Arial"/>
        </w:rPr>
      </w:pPr>
      <w:r w:rsidRPr="00012455">
        <w:rPr>
          <w:rFonts w:ascii="Arial" w:hAnsi="Arial" w:cs="Arial"/>
        </w:rPr>
        <w:t xml:space="preserve">If the person conducting the meeting is satisfied that the employee has made sufficient improvement, the capability procedure will </w:t>
      </w:r>
      <w:proofErr w:type="gramStart"/>
      <w:r w:rsidRPr="00012455">
        <w:rPr>
          <w:rFonts w:ascii="Arial" w:hAnsi="Arial" w:cs="Arial"/>
        </w:rPr>
        <w:t>cease</w:t>
      </w:r>
      <w:proofErr w:type="gramEnd"/>
      <w:r w:rsidRPr="00012455">
        <w:rPr>
          <w:rFonts w:ascii="Arial" w:hAnsi="Arial" w:cs="Arial"/>
        </w:rPr>
        <w:t xml:space="preserve"> and the appraisal process will re-start. The employee will be informed that if there is further cause for concern within six </w:t>
      </w:r>
      <w:proofErr w:type="gramStart"/>
      <w:r w:rsidRPr="00012455">
        <w:rPr>
          <w:rFonts w:ascii="Arial" w:hAnsi="Arial" w:cs="Arial"/>
        </w:rPr>
        <w:t>months</w:t>
      </w:r>
      <w:proofErr w:type="gramEnd"/>
      <w:r w:rsidRPr="00012455">
        <w:rPr>
          <w:rFonts w:ascii="Arial" w:hAnsi="Arial" w:cs="Arial"/>
        </w:rPr>
        <w:t xml:space="preserve"> they will re-enter the formal capability procedure at the stage at which they left it. </w:t>
      </w:r>
    </w:p>
    <w:p w14:paraId="6548007E" w14:textId="5AF9ADCF" w:rsidR="00712D0A" w:rsidRPr="00012455" w:rsidRDefault="00780F0D" w:rsidP="00780F0D">
      <w:pPr>
        <w:rPr>
          <w:rFonts w:ascii="Arial" w:hAnsi="Arial" w:cs="Arial"/>
          <w:b/>
          <w:bCs/>
          <w:u w:val="single"/>
        </w:rPr>
      </w:pPr>
      <w:r w:rsidRPr="00012455">
        <w:rPr>
          <w:rFonts w:ascii="Arial" w:hAnsi="Arial" w:cs="Arial"/>
          <w:b/>
          <w:bCs/>
          <w:u w:val="single"/>
        </w:rPr>
        <w:br/>
      </w:r>
      <w:r w:rsidR="00712D0A" w:rsidRPr="00012455">
        <w:rPr>
          <w:rFonts w:ascii="Arial" w:hAnsi="Arial" w:cs="Arial"/>
          <w:b/>
          <w:bCs/>
          <w:u w:val="single"/>
        </w:rPr>
        <w:t xml:space="preserve">OR </w:t>
      </w:r>
    </w:p>
    <w:p w14:paraId="1647C25C" w14:textId="1210062D" w:rsidR="00712D0A" w:rsidRPr="00012455" w:rsidRDefault="00712D0A" w:rsidP="00780F0D">
      <w:pPr>
        <w:spacing w:after="0" w:line="240" w:lineRule="auto"/>
        <w:rPr>
          <w:rFonts w:ascii="Arial" w:hAnsi="Arial" w:cs="Arial"/>
        </w:rPr>
      </w:pPr>
      <w:r w:rsidRPr="00012455">
        <w:rPr>
          <w:rFonts w:ascii="Arial" w:hAnsi="Arial" w:cs="Arial"/>
        </w:rPr>
        <w:t xml:space="preserve">If some progress has been made and there is confidence that more is likely, it may be appropriate to extend the monitoring and review period and to schedule a further formal review meeting.  The timetable for improvement will depend on the circumstances of the individual case and will be between </w:t>
      </w:r>
      <w:r w:rsidR="0091193B">
        <w:rPr>
          <w:rFonts w:ascii="Arial" w:hAnsi="Arial" w:cs="Arial"/>
        </w:rPr>
        <w:t xml:space="preserve">six </w:t>
      </w:r>
      <w:r w:rsidRPr="00012455">
        <w:rPr>
          <w:rFonts w:ascii="Arial" w:hAnsi="Arial" w:cs="Arial"/>
        </w:rPr>
        <w:t>and ten working weeks.</w:t>
      </w:r>
    </w:p>
    <w:p w14:paraId="59F7FC11" w14:textId="378DB87D" w:rsidR="00712D0A" w:rsidRPr="00012455" w:rsidRDefault="00780F0D" w:rsidP="00780F0D">
      <w:pPr>
        <w:rPr>
          <w:rFonts w:ascii="Arial" w:hAnsi="Arial" w:cs="Arial"/>
          <w:b/>
          <w:bCs/>
          <w:u w:val="single"/>
        </w:rPr>
      </w:pPr>
      <w:r w:rsidRPr="00012455">
        <w:rPr>
          <w:rFonts w:ascii="Arial" w:hAnsi="Arial" w:cs="Arial"/>
          <w:b/>
          <w:bCs/>
          <w:u w:val="single"/>
        </w:rPr>
        <w:br/>
      </w:r>
      <w:r w:rsidR="00712D0A" w:rsidRPr="00012455">
        <w:rPr>
          <w:rFonts w:ascii="Arial" w:hAnsi="Arial" w:cs="Arial"/>
          <w:b/>
          <w:bCs/>
          <w:u w:val="single"/>
        </w:rPr>
        <w:t>OR</w:t>
      </w:r>
    </w:p>
    <w:p w14:paraId="198DFE4E" w14:textId="77777777" w:rsidR="00712D0A" w:rsidRPr="008A21C8" w:rsidRDefault="00712D0A" w:rsidP="00780F0D">
      <w:pPr>
        <w:spacing w:after="0" w:line="240" w:lineRule="auto"/>
        <w:rPr>
          <w:rFonts w:ascii="Arial" w:hAnsi="Arial" w:cs="Arial"/>
        </w:rPr>
      </w:pPr>
      <w:r w:rsidRPr="008A21C8">
        <w:rPr>
          <w:rFonts w:ascii="Arial" w:hAnsi="Arial" w:cs="Arial"/>
        </w:rPr>
        <w:t xml:space="preserve">If no, or insufficient improvement has been made during the monitoring and review period, the employee will be issued with a final written warning. If a final warning is issued the period for improvement will normally be four working weeks. </w:t>
      </w:r>
    </w:p>
    <w:p w14:paraId="7761BFEA" w14:textId="77777777" w:rsidR="00712D0A" w:rsidRPr="00012455" w:rsidRDefault="00712D0A" w:rsidP="00712D0A">
      <w:pPr>
        <w:spacing w:after="0" w:line="240" w:lineRule="auto"/>
        <w:ind w:left="360"/>
        <w:rPr>
          <w:rFonts w:ascii="Arial" w:hAnsi="Arial" w:cs="Arial"/>
        </w:rPr>
      </w:pPr>
    </w:p>
    <w:p w14:paraId="7C0C5C14" w14:textId="77777777" w:rsidR="00712D0A" w:rsidRPr="00012455" w:rsidRDefault="00712D0A" w:rsidP="00780F0D">
      <w:pPr>
        <w:spacing w:after="0" w:line="240" w:lineRule="auto"/>
        <w:rPr>
          <w:rFonts w:ascii="Arial" w:hAnsi="Arial" w:cs="Arial"/>
        </w:rPr>
      </w:pPr>
      <w:r w:rsidRPr="00012455">
        <w:rPr>
          <w:rFonts w:ascii="Arial" w:hAnsi="Arial" w:cs="Arial"/>
        </w:rPr>
        <w:t xml:space="preserve">The employee will be invited to a decision meeting at the end of the monitoring and review period.  </w:t>
      </w:r>
      <w:r w:rsidRPr="00012455">
        <w:rPr>
          <w:rFonts w:ascii="Arial" w:hAnsi="Arial" w:cs="Arial"/>
        </w:rPr>
        <w:br/>
      </w:r>
    </w:p>
    <w:p w14:paraId="01357703" w14:textId="77777777" w:rsidR="00712D0A" w:rsidRPr="00012455" w:rsidRDefault="00712D0A" w:rsidP="00780F0D">
      <w:pPr>
        <w:spacing w:after="0" w:line="240" w:lineRule="auto"/>
        <w:rPr>
          <w:rFonts w:ascii="Arial" w:hAnsi="Arial" w:cs="Arial"/>
        </w:rPr>
      </w:pPr>
      <w:r w:rsidRPr="00012455">
        <w:rPr>
          <w:rFonts w:ascii="Arial" w:hAnsi="Arial" w:cs="Arial"/>
        </w:rPr>
        <w:t xml:space="preserve">Notes will be taken of the meeting and a copy given to the member of staff within three working days of the meeting. </w:t>
      </w:r>
      <w:r w:rsidRPr="00012455">
        <w:rPr>
          <w:rFonts w:ascii="Arial" w:hAnsi="Arial" w:cs="Arial"/>
        </w:rPr>
        <w:br/>
      </w:r>
    </w:p>
    <w:p w14:paraId="7B23586C" w14:textId="15E898D6" w:rsidR="00712D0A" w:rsidRPr="008A21C8" w:rsidRDefault="00712D0A" w:rsidP="00780F0D">
      <w:pPr>
        <w:spacing w:after="0" w:line="240" w:lineRule="auto"/>
        <w:rPr>
          <w:rFonts w:ascii="Arial" w:hAnsi="Arial" w:cs="Arial"/>
        </w:rPr>
      </w:pPr>
      <w:r w:rsidRPr="008A21C8">
        <w:rPr>
          <w:rFonts w:ascii="Arial" w:hAnsi="Arial" w:cs="Arial"/>
        </w:rPr>
        <w:t>In all cases, the outcome of the meeting will be confirmed in writing</w:t>
      </w:r>
      <w:r w:rsidR="00D5516F" w:rsidRPr="008A21C8">
        <w:rPr>
          <w:rFonts w:ascii="Arial" w:hAnsi="Arial" w:cs="Arial"/>
        </w:rPr>
        <w:t xml:space="preserve"> within 5 working days</w:t>
      </w:r>
      <w:r w:rsidRPr="008A21C8">
        <w:rPr>
          <w:rFonts w:ascii="Arial" w:hAnsi="Arial" w:cs="Arial"/>
        </w:rPr>
        <w:t>.</w:t>
      </w:r>
      <w:r w:rsidRPr="008A21C8">
        <w:rPr>
          <w:rFonts w:ascii="Arial" w:hAnsi="Arial" w:cs="Arial"/>
        </w:rPr>
        <w:br/>
      </w:r>
    </w:p>
    <w:p w14:paraId="16041921" w14:textId="77777777" w:rsidR="00712D0A" w:rsidRPr="00012455" w:rsidRDefault="00712D0A" w:rsidP="00780F0D">
      <w:pPr>
        <w:spacing w:after="0" w:line="240" w:lineRule="auto"/>
        <w:rPr>
          <w:rFonts w:ascii="Arial" w:hAnsi="Arial" w:cs="Arial"/>
        </w:rPr>
      </w:pPr>
      <w:r w:rsidRPr="00012455">
        <w:rPr>
          <w:rFonts w:ascii="Arial" w:hAnsi="Arial" w:cs="Arial"/>
        </w:rPr>
        <w:t xml:space="preserve">Where a final warning is issued, the employee will be informed in writing that failure to achieve an acceptable standard of performance within the set timescale, may result in dismissal and given information about the handling of the monitoring and review period and the procedure and time limits for appealing against the final warning.  </w:t>
      </w:r>
    </w:p>
    <w:p w14:paraId="3644C99A" w14:textId="522F2CEB" w:rsidR="00712D0A" w:rsidRPr="0049738A" w:rsidRDefault="00255809" w:rsidP="00D5516F">
      <w:pPr>
        <w:pStyle w:val="Heading2"/>
        <w:tabs>
          <w:tab w:val="left" w:pos="426"/>
        </w:tabs>
        <w:rPr>
          <w:rFonts w:ascii="Arial" w:hAnsi="Arial" w:cs="Arial"/>
        </w:rPr>
      </w:pPr>
      <w:r w:rsidRPr="0049738A">
        <w:rPr>
          <w:rFonts w:ascii="Arial" w:hAnsi="Arial" w:cs="Arial"/>
        </w:rPr>
        <w:t xml:space="preserve">7. </w:t>
      </w:r>
      <w:r w:rsidR="006C77AC" w:rsidRPr="0049738A">
        <w:rPr>
          <w:rFonts w:ascii="Arial" w:hAnsi="Arial" w:cs="Arial"/>
        </w:rPr>
        <w:tab/>
      </w:r>
      <w:r w:rsidR="00712D0A" w:rsidRPr="0049738A">
        <w:rPr>
          <w:rFonts w:ascii="Arial" w:hAnsi="Arial" w:cs="Arial"/>
        </w:rPr>
        <w:t xml:space="preserve">Decision meeting </w:t>
      </w:r>
      <w:r w:rsidR="008D6F5B">
        <w:rPr>
          <w:rFonts w:ascii="Arial" w:hAnsi="Arial" w:cs="Arial"/>
        </w:rPr>
        <w:t>(Stage 3)</w:t>
      </w:r>
    </w:p>
    <w:p w14:paraId="07F6DEC8" w14:textId="3A470774" w:rsidR="00712D0A" w:rsidRPr="0049738A" w:rsidRDefault="00712D0A" w:rsidP="00780F0D">
      <w:pPr>
        <w:spacing w:after="0" w:line="240" w:lineRule="auto"/>
        <w:rPr>
          <w:rFonts w:ascii="Arial" w:hAnsi="Arial" w:cs="Arial"/>
        </w:rPr>
      </w:pPr>
      <w:r w:rsidRPr="0049738A">
        <w:rPr>
          <w:rFonts w:ascii="Arial" w:hAnsi="Arial" w:cs="Arial"/>
        </w:rPr>
        <w:t xml:space="preserve">At least </w:t>
      </w:r>
      <w:r w:rsidR="0091193B">
        <w:rPr>
          <w:rFonts w:ascii="Arial" w:hAnsi="Arial" w:cs="Arial"/>
        </w:rPr>
        <w:t>10</w:t>
      </w:r>
      <w:r w:rsidRPr="0049738A">
        <w:rPr>
          <w:rFonts w:ascii="Arial" w:hAnsi="Arial" w:cs="Arial"/>
        </w:rPr>
        <w:t xml:space="preserve"> working days’ notice will be </w:t>
      </w:r>
      <w:proofErr w:type="gramStart"/>
      <w:r w:rsidRPr="0049738A">
        <w:rPr>
          <w:rFonts w:ascii="Arial" w:hAnsi="Arial" w:cs="Arial"/>
        </w:rPr>
        <w:t>given</w:t>
      </w:r>
      <w:proofErr w:type="gramEnd"/>
      <w:r w:rsidRPr="0049738A">
        <w:rPr>
          <w:rFonts w:ascii="Arial" w:hAnsi="Arial" w:cs="Arial"/>
        </w:rPr>
        <w:t xml:space="preserve"> and the written notification will give details of the time and place of the meeting and will advise the employee of their </w:t>
      </w:r>
      <w:r w:rsidRPr="0049738A">
        <w:rPr>
          <w:rFonts w:ascii="Arial" w:hAnsi="Arial" w:cs="Arial"/>
        </w:rPr>
        <w:lastRenderedPageBreak/>
        <w:t>right to be accompanied by a companion who may be a colleague, a trade union official, or a trade union representative who has been certified by their union as being competent.</w:t>
      </w:r>
    </w:p>
    <w:p w14:paraId="5C3A4B26" w14:textId="4361E1B9" w:rsidR="005A1244" w:rsidRPr="0049738A" w:rsidRDefault="005A1244" w:rsidP="005A1244">
      <w:pPr>
        <w:spacing w:after="0" w:line="240" w:lineRule="auto"/>
        <w:rPr>
          <w:rFonts w:ascii="Arial" w:hAnsi="Arial" w:cs="Arial"/>
        </w:rPr>
      </w:pPr>
    </w:p>
    <w:p w14:paraId="070ADFC1" w14:textId="77777777" w:rsidR="005A1244" w:rsidRPr="0049738A" w:rsidRDefault="005A1244" w:rsidP="00780F0D">
      <w:pPr>
        <w:widowControl w:val="0"/>
        <w:rPr>
          <w:rFonts w:ascii="Arial" w:hAnsi="Arial" w:cs="Arial"/>
        </w:rPr>
      </w:pPr>
      <w:r w:rsidRPr="008A21C8">
        <w:rPr>
          <w:rFonts w:ascii="Arial" w:hAnsi="Arial" w:cs="Arial"/>
        </w:rPr>
        <w:t xml:space="preserve">The </w:t>
      </w:r>
      <w:proofErr w:type="gramStart"/>
      <w:r w:rsidRPr="008A21C8">
        <w:rPr>
          <w:rFonts w:ascii="Arial" w:hAnsi="Arial" w:cs="Arial"/>
        </w:rPr>
        <w:t>School</w:t>
      </w:r>
      <w:proofErr w:type="gramEnd"/>
      <w:r w:rsidRPr="008A21C8">
        <w:rPr>
          <w:rFonts w:ascii="Arial" w:hAnsi="Arial" w:cs="Arial"/>
        </w:rPr>
        <w:t xml:space="preserve"> expects that the employee and their representative will make all reasonable efforts to attend the meeting date and time. If it is not possible, the employee may propose an alternative date and/ or time.  This should be within </w:t>
      </w:r>
      <w:r w:rsidRPr="008A21C8">
        <w:rPr>
          <w:rFonts w:ascii="Arial" w:hAnsi="Arial" w:cs="Arial"/>
          <w:b/>
        </w:rPr>
        <w:t>5 working days</w:t>
      </w:r>
      <w:r w:rsidRPr="008A21C8">
        <w:rPr>
          <w:rFonts w:ascii="Arial" w:hAnsi="Arial" w:cs="Arial"/>
        </w:rPr>
        <w:t xml:space="preserve"> of the original meeting</w:t>
      </w:r>
      <w:r w:rsidRPr="0049738A">
        <w:rPr>
          <w:rFonts w:ascii="Arial" w:hAnsi="Arial" w:cs="Arial"/>
        </w:rPr>
        <w:t>.</w:t>
      </w:r>
    </w:p>
    <w:p w14:paraId="757E20E1" w14:textId="77777777" w:rsidR="00712D0A" w:rsidRPr="0049738A" w:rsidRDefault="00712D0A" w:rsidP="00780F0D">
      <w:pPr>
        <w:spacing w:after="0" w:line="240" w:lineRule="auto"/>
        <w:rPr>
          <w:rFonts w:ascii="Arial" w:hAnsi="Arial" w:cs="Arial"/>
        </w:rPr>
      </w:pPr>
      <w:r w:rsidRPr="0049738A">
        <w:rPr>
          <w:rFonts w:ascii="Arial" w:hAnsi="Arial" w:cs="Arial"/>
        </w:rPr>
        <w:t>At the Decision meeting the person conducting the meeting will:</w:t>
      </w:r>
    </w:p>
    <w:p w14:paraId="02C05B64" w14:textId="51F5B7FE" w:rsidR="00712D0A" w:rsidRDefault="00712D0A" w:rsidP="00712D0A">
      <w:pPr>
        <w:numPr>
          <w:ilvl w:val="0"/>
          <w:numId w:val="33"/>
        </w:numPr>
        <w:spacing w:after="0" w:line="240" w:lineRule="auto"/>
        <w:rPr>
          <w:rFonts w:ascii="Arial" w:hAnsi="Arial" w:cs="Arial"/>
        </w:rPr>
      </w:pPr>
      <w:r w:rsidRPr="0049738A">
        <w:rPr>
          <w:rFonts w:ascii="Arial" w:hAnsi="Arial" w:cs="Arial"/>
        </w:rPr>
        <w:t xml:space="preserve">Remind the employee of the purpose of the Professional Capability </w:t>
      </w:r>
      <w:proofErr w:type="gramStart"/>
      <w:r w:rsidRPr="0049738A">
        <w:rPr>
          <w:rFonts w:ascii="Arial" w:hAnsi="Arial" w:cs="Arial"/>
        </w:rPr>
        <w:t>procedure;</w:t>
      </w:r>
      <w:proofErr w:type="gramEnd"/>
    </w:p>
    <w:p w14:paraId="5AA076B8" w14:textId="5A3C4CF0" w:rsidR="0091193B" w:rsidRPr="0049738A" w:rsidRDefault="0091193B" w:rsidP="00712D0A">
      <w:pPr>
        <w:numPr>
          <w:ilvl w:val="0"/>
          <w:numId w:val="33"/>
        </w:numPr>
        <w:spacing w:after="0" w:line="240" w:lineRule="auto"/>
        <w:rPr>
          <w:rFonts w:ascii="Arial" w:hAnsi="Arial" w:cs="Arial"/>
        </w:rPr>
      </w:pPr>
      <w:r>
        <w:rPr>
          <w:rFonts w:ascii="Arial" w:hAnsi="Arial" w:cs="Arial"/>
        </w:rPr>
        <w:t>R</w:t>
      </w:r>
      <w:r w:rsidRPr="0091193B">
        <w:rPr>
          <w:rFonts w:ascii="Arial" w:hAnsi="Arial" w:cs="Arial"/>
        </w:rPr>
        <w:t>eview the support and guidance provided to the employee since the start of the procedure.</w:t>
      </w:r>
    </w:p>
    <w:p w14:paraId="287EC45A" w14:textId="77777777" w:rsidR="00712D0A" w:rsidRPr="0049738A" w:rsidRDefault="00712D0A" w:rsidP="00712D0A">
      <w:pPr>
        <w:numPr>
          <w:ilvl w:val="0"/>
          <w:numId w:val="33"/>
        </w:numPr>
        <w:spacing w:after="0" w:line="240" w:lineRule="auto"/>
        <w:rPr>
          <w:rFonts w:ascii="Arial" w:hAnsi="Arial" w:cs="Arial"/>
        </w:rPr>
      </w:pPr>
      <w:r w:rsidRPr="0049738A">
        <w:rPr>
          <w:rFonts w:ascii="Arial" w:hAnsi="Arial" w:cs="Arial"/>
        </w:rPr>
        <w:t xml:space="preserve">Review the employee’s progress in achieving the improved standard of performance identified in the formal capability and/or formal review </w:t>
      </w:r>
      <w:proofErr w:type="gramStart"/>
      <w:r w:rsidRPr="0049738A">
        <w:rPr>
          <w:rFonts w:ascii="Arial" w:hAnsi="Arial" w:cs="Arial"/>
        </w:rPr>
        <w:t>meeting;</w:t>
      </w:r>
      <w:proofErr w:type="gramEnd"/>
    </w:p>
    <w:p w14:paraId="223F6CF1" w14:textId="2B48FA9B" w:rsidR="00712D0A" w:rsidRPr="0049738A" w:rsidRDefault="00712D0A" w:rsidP="00712D0A">
      <w:pPr>
        <w:numPr>
          <w:ilvl w:val="0"/>
          <w:numId w:val="33"/>
        </w:numPr>
        <w:spacing w:after="0" w:line="240" w:lineRule="auto"/>
        <w:rPr>
          <w:rFonts w:ascii="Arial" w:hAnsi="Arial" w:cs="Arial"/>
        </w:rPr>
      </w:pPr>
      <w:r w:rsidRPr="0049738A">
        <w:rPr>
          <w:rFonts w:ascii="Arial" w:hAnsi="Arial" w:cs="Arial"/>
        </w:rPr>
        <w:t xml:space="preserve">Provide the employee with an opportunity to respond to the assessment of </w:t>
      </w:r>
      <w:r w:rsidR="0063463A" w:rsidRPr="0049738A">
        <w:rPr>
          <w:rFonts w:ascii="Arial" w:hAnsi="Arial" w:cs="Arial"/>
        </w:rPr>
        <w:t>their</w:t>
      </w:r>
      <w:r w:rsidRPr="0049738A">
        <w:rPr>
          <w:rFonts w:ascii="Arial" w:hAnsi="Arial" w:cs="Arial"/>
        </w:rPr>
        <w:t xml:space="preserve"> performance and make any </w:t>
      </w:r>
      <w:proofErr w:type="gramStart"/>
      <w:r w:rsidRPr="0049738A">
        <w:rPr>
          <w:rFonts w:ascii="Arial" w:hAnsi="Arial" w:cs="Arial"/>
        </w:rPr>
        <w:t>representations;</w:t>
      </w:r>
      <w:proofErr w:type="gramEnd"/>
    </w:p>
    <w:p w14:paraId="29C2E374" w14:textId="4CE70772" w:rsidR="0074510D" w:rsidRPr="0049738A" w:rsidRDefault="0074510D" w:rsidP="00712D0A">
      <w:pPr>
        <w:numPr>
          <w:ilvl w:val="0"/>
          <w:numId w:val="33"/>
        </w:numPr>
        <w:spacing w:after="0" w:line="240" w:lineRule="auto"/>
        <w:rPr>
          <w:rFonts w:ascii="Arial" w:hAnsi="Arial" w:cs="Arial"/>
        </w:rPr>
      </w:pPr>
      <w:r w:rsidRPr="0049738A">
        <w:rPr>
          <w:rFonts w:ascii="Arial" w:hAnsi="Arial" w:cs="Arial"/>
        </w:rPr>
        <w:t xml:space="preserve">In cases of alleged </w:t>
      </w:r>
      <w:r w:rsidR="0091193B">
        <w:rPr>
          <w:rFonts w:ascii="Arial" w:hAnsi="Arial" w:cs="Arial"/>
        </w:rPr>
        <w:t>g</w:t>
      </w:r>
      <w:r w:rsidRPr="0049738A">
        <w:rPr>
          <w:rFonts w:ascii="Arial" w:hAnsi="Arial" w:cs="Arial"/>
        </w:rPr>
        <w:t xml:space="preserve">ross </w:t>
      </w:r>
      <w:r w:rsidR="0091193B">
        <w:rPr>
          <w:rFonts w:ascii="Arial" w:hAnsi="Arial" w:cs="Arial"/>
        </w:rPr>
        <w:t>n</w:t>
      </w:r>
      <w:r w:rsidRPr="0049738A">
        <w:rPr>
          <w:rFonts w:ascii="Arial" w:hAnsi="Arial" w:cs="Arial"/>
        </w:rPr>
        <w:t>egligence, consider all the evidence and the employee’s response, along with any mitigation</w:t>
      </w:r>
      <w:r w:rsidR="0091193B">
        <w:rPr>
          <w:rFonts w:ascii="Arial" w:hAnsi="Arial" w:cs="Arial"/>
        </w:rPr>
        <w:t>. The matter may be required to be considered under the Disciplinary policy and procedure.</w:t>
      </w:r>
    </w:p>
    <w:p w14:paraId="76432586" w14:textId="77777777" w:rsidR="00712D0A" w:rsidRPr="0049738A" w:rsidRDefault="00712D0A" w:rsidP="00712D0A">
      <w:pPr>
        <w:numPr>
          <w:ilvl w:val="0"/>
          <w:numId w:val="33"/>
        </w:numPr>
        <w:spacing w:after="0" w:line="240" w:lineRule="auto"/>
        <w:rPr>
          <w:rFonts w:ascii="Arial" w:hAnsi="Arial" w:cs="Arial"/>
        </w:rPr>
      </w:pPr>
      <w:proofErr w:type="gramStart"/>
      <w:r w:rsidRPr="0049738A">
        <w:rPr>
          <w:rFonts w:ascii="Arial" w:hAnsi="Arial" w:cs="Arial"/>
        </w:rPr>
        <w:t>Make a decision</w:t>
      </w:r>
      <w:proofErr w:type="gramEnd"/>
      <w:r w:rsidRPr="0049738A">
        <w:rPr>
          <w:rFonts w:ascii="Arial" w:hAnsi="Arial" w:cs="Arial"/>
        </w:rPr>
        <w:t>, as follows:</w:t>
      </w:r>
    </w:p>
    <w:p w14:paraId="09038CEE" w14:textId="51C8A15B" w:rsidR="00712D0A" w:rsidRPr="00012455" w:rsidRDefault="00012455" w:rsidP="00780F0D">
      <w:pPr>
        <w:rPr>
          <w:rFonts w:ascii="Arial" w:hAnsi="Arial" w:cs="Arial"/>
          <w:b/>
          <w:bCs/>
          <w:u w:val="single"/>
        </w:rPr>
      </w:pPr>
      <w:r>
        <w:rPr>
          <w:rFonts w:ascii="Arial" w:hAnsi="Arial" w:cs="Arial"/>
          <w:b/>
          <w:bCs/>
          <w:u w:val="single"/>
        </w:rPr>
        <w:br/>
      </w:r>
      <w:r w:rsidR="00712D0A" w:rsidRPr="00012455">
        <w:rPr>
          <w:rFonts w:ascii="Arial" w:hAnsi="Arial" w:cs="Arial"/>
          <w:b/>
          <w:bCs/>
          <w:u w:val="single"/>
        </w:rPr>
        <w:t>EITHER</w:t>
      </w:r>
    </w:p>
    <w:p w14:paraId="684234B1" w14:textId="509433C0" w:rsidR="00712D0A" w:rsidRPr="00012455" w:rsidRDefault="00712D0A" w:rsidP="00780F0D">
      <w:pPr>
        <w:spacing w:after="0" w:line="240" w:lineRule="auto"/>
        <w:rPr>
          <w:rFonts w:ascii="Arial" w:hAnsi="Arial" w:cs="Arial"/>
        </w:rPr>
      </w:pPr>
      <w:r w:rsidRPr="00012455">
        <w:rPr>
          <w:rFonts w:ascii="Arial" w:hAnsi="Arial" w:cs="Arial"/>
        </w:rPr>
        <w:t xml:space="preserve">If an acceptable standard of performance has been achieved during the monitoring and review period, the capability procedure will </w:t>
      </w:r>
      <w:proofErr w:type="gramStart"/>
      <w:r w:rsidRPr="00012455">
        <w:rPr>
          <w:rFonts w:ascii="Arial" w:hAnsi="Arial" w:cs="Arial"/>
        </w:rPr>
        <w:t>end</w:t>
      </w:r>
      <w:proofErr w:type="gramEnd"/>
      <w:r w:rsidRPr="00012455">
        <w:rPr>
          <w:rFonts w:ascii="Arial" w:hAnsi="Arial" w:cs="Arial"/>
        </w:rPr>
        <w:t xml:space="preserve"> and the appraisal process will re-start. The employee will be informed that if there is further cause for concern within six month</w:t>
      </w:r>
      <w:r w:rsidR="00EF7121" w:rsidRPr="00012455">
        <w:rPr>
          <w:rFonts w:ascii="Arial" w:hAnsi="Arial" w:cs="Arial"/>
        </w:rPr>
        <w:t>’</w:t>
      </w:r>
      <w:r w:rsidRPr="00012455">
        <w:rPr>
          <w:rFonts w:ascii="Arial" w:hAnsi="Arial" w:cs="Arial"/>
        </w:rPr>
        <w:t>s they will normally re-enter the formal capability procedure at the stage at which they left it.</w:t>
      </w:r>
      <w:r w:rsidR="0074510D" w:rsidRPr="00012455">
        <w:rPr>
          <w:rFonts w:ascii="Arial" w:hAnsi="Arial" w:cs="Arial"/>
        </w:rPr>
        <w:t xml:space="preserve"> </w:t>
      </w:r>
    </w:p>
    <w:p w14:paraId="4EEC46E9" w14:textId="5C601351" w:rsidR="00712D0A" w:rsidRPr="00012455" w:rsidRDefault="00780F0D" w:rsidP="00780F0D">
      <w:pPr>
        <w:rPr>
          <w:rFonts w:ascii="Arial" w:hAnsi="Arial" w:cs="Arial"/>
          <w:b/>
          <w:bCs/>
          <w:u w:val="single"/>
        </w:rPr>
      </w:pPr>
      <w:r w:rsidRPr="00012455">
        <w:rPr>
          <w:rFonts w:ascii="Arial" w:hAnsi="Arial" w:cs="Arial"/>
          <w:b/>
          <w:bCs/>
          <w:u w:val="single"/>
        </w:rPr>
        <w:br/>
      </w:r>
      <w:r w:rsidR="00712D0A" w:rsidRPr="00012455">
        <w:rPr>
          <w:rFonts w:ascii="Arial" w:hAnsi="Arial" w:cs="Arial"/>
          <w:b/>
          <w:bCs/>
          <w:u w:val="single"/>
        </w:rPr>
        <w:t>OR</w:t>
      </w:r>
    </w:p>
    <w:p w14:paraId="5F67FDE8" w14:textId="1638384B" w:rsidR="0074510D" w:rsidRPr="00012455" w:rsidRDefault="00712D0A" w:rsidP="00780F0D">
      <w:pPr>
        <w:spacing w:after="0" w:line="240" w:lineRule="auto"/>
        <w:rPr>
          <w:rFonts w:ascii="Arial" w:hAnsi="Arial" w:cs="Arial"/>
        </w:rPr>
      </w:pPr>
      <w:r w:rsidRPr="00012455">
        <w:rPr>
          <w:rFonts w:ascii="Arial" w:hAnsi="Arial" w:cs="Arial"/>
        </w:rPr>
        <w:t xml:space="preserve">If performance remains unsatisfactory </w:t>
      </w:r>
      <w:r w:rsidR="0091193B">
        <w:rPr>
          <w:rFonts w:ascii="Arial" w:hAnsi="Arial" w:cs="Arial"/>
        </w:rPr>
        <w:t xml:space="preserve">and the appropriate level of support has been provided to the employee, </w:t>
      </w:r>
      <w:r w:rsidRPr="00012455">
        <w:rPr>
          <w:rFonts w:ascii="Arial" w:hAnsi="Arial" w:cs="Arial"/>
        </w:rPr>
        <w:t>a recommendation will be made to the Governing Body that the employee should be dismissed or required to cease working at the school.</w:t>
      </w:r>
      <w:r w:rsidRPr="00012455">
        <w:rPr>
          <w:rStyle w:val="FootnoteReference"/>
          <w:rFonts w:ascii="Arial" w:hAnsi="Arial" w:cs="Arial"/>
        </w:rPr>
        <w:footnoteReference w:id="2"/>
      </w:r>
      <w:r w:rsidRPr="00012455">
        <w:rPr>
          <w:rFonts w:ascii="Arial" w:hAnsi="Arial" w:cs="Arial"/>
        </w:rPr>
        <w:t xml:space="preserve"> </w:t>
      </w:r>
      <w:r w:rsidR="0091193B">
        <w:rPr>
          <w:rStyle w:val="FootnoteReference"/>
          <w:rFonts w:ascii="Arial" w:hAnsi="Arial" w:cs="Arial"/>
        </w:rPr>
        <w:footnoteReference w:id="3"/>
      </w:r>
    </w:p>
    <w:p w14:paraId="01FDB6DF" w14:textId="77777777" w:rsidR="0074510D" w:rsidRPr="00012455" w:rsidRDefault="0074510D" w:rsidP="0074510D">
      <w:pPr>
        <w:spacing w:after="0" w:line="240" w:lineRule="auto"/>
        <w:rPr>
          <w:rFonts w:ascii="Arial" w:hAnsi="Arial" w:cs="Arial"/>
        </w:rPr>
      </w:pPr>
    </w:p>
    <w:p w14:paraId="48D150EC" w14:textId="77777777" w:rsidR="0074510D" w:rsidRPr="008A21C8" w:rsidRDefault="0074510D" w:rsidP="0074510D">
      <w:pPr>
        <w:spacing w:after="0" w:line="240" w:lineRule="auto"/>
        <w:rPr>
          <w:rFonts w:ascii="Arial" w:hAnsi="Arial" w:cs="Arial"/>
          <w:b/>
          <w:bCs/>
          <w:u w:val="single"/>
        </w:rPr>
      </w:pPr>
      <w:r w:rsidRPr="008A21C8">
        <w:rPr>
          <w:rFonts w:ascii="Arial" w:hAnsi="Arial" w:cs="Arial"/>
          <w:b/>
          <w:bCs/>
          <w:u w:val="single"/>
        </w:rPr>
        <w:lastRenderedPageBreak/>
        <w:t>OR</w:t>
      </w:r>
    </w:p>
    <w:p w14:paraId="06333B5B" w14:textId="77777777" w:rsidR="0074510D" w:rsidRPr="008A21C8" w:rsidRDefault="0074510D" w:rsidP="0074510D">
      <w:pPr>
        <w:spacing w:after="0" w:line="240" w:lineRule="auto"/>
        <w:rPr>
          <w:rFonts w:ascii="Arial" w:hAnsi="Arial" w:cs="Arial"/>
        </w:rPr>
      </w:pPr>
    </w:p>
    <w:p w14:paraId="36ADEF18" w14:textId="2F6778E8" w:rsidR="00712D0A" w:rsidRPr="00012455" w:rsidRDefault="0074510D" w:rsidP="00780F0D">
      <w:pPr>
        <w:spacing w:after="0" w:line="240" w:lineRule="auto"/>
        <w:rPr>
          <w:rFonts w:ascii="Arial" w:hAnsi="Arial" w:cs="Arial"/>
        </w:rPr>
      </w:pPr>
      <w:r w:rsidRPr="008A21C8">
        <w:rPr>
          <w:rFonts w:ascii="Arial" w:hAnsi="Arial" w:cs="Arial"/>
        </w:rPr>
        <w:t xml:space="preserve">In cases of gross negligence, having </w:t>
      </w:r>
      <w:r w:rsidR="00207DD3">
        <w:rPr>
          <w:rFonts w:ascii="Arial" w:hAnsi="Arial" w:cs="Arial"/>
        </w:rPr>
        <w:t xml:space="preserve">investigated the allegations as set out in the Disciplinary policy, </w:t>
      </w:r>
      <w:r w:rsidRPr="008A21C8">
        <w:rPr>
          <w:rFonts w:ascii="Arial" w:hAnsi="Arial" w:cs="Arial"/>
        </w:rPr>
        <w:t>considered all the evidence and representations, if the employee should be dismissed or if a final written warning should be issued</w:t>
      </w:r>
      <w:r w:rsidR="002B6027">
        <w:rPr>
          <w:rFonts w:ascii="Arial" w:hAnsi="Arial" w:cs="Arial"/>
        </w:rPr>
        <w:t xml:space="preserve">. </w:t>
      </w:r>
      <w:r w:rsidR="00712D0A" w:rsidRPr="00012455">
        <w:rPr>
          <w:rFonts w:ascii="Arial" w:hAnsi="Arial" w:cs="Arial"/>
        </w:rPr>
        <w:t>Notes will be taken of the meeting and a copy given to the member of staff within three working days of the meeting.</w:t>
      </w:r>
      <w:r w:rsidR="00712D0A" w:rsidRPr="00012455">
        <w:rPr>
          <w:rFonts w:ascii="Arial" w:hAnsi="Arial" w:cs="Arial"/>
        </w:rPr>
        <w:br/>
      </w:r>
    </w:p>
    <w:p w14:paraId="49BA47CE" w14:textId="29E1FE11" w:rsidR="00712D0A" w:rsidRPr="00012455" w:rsidRDefault="00712D0A" w:rsidP="00780F0D">
      <w:pPr>
        <w:spacing w:after="0" w:line="240" w:lineRule="auto"/>
        <w:rPr>
          <w:rFonts w:ascii="Arial" w:hAnsi="Arial" w:cs="Arial"/>
          <w:highlight w:val="yellow"/>
        </w:rPr>
      </w:pPr>
      <w:r w:rsidRPr="00012455">
        <w:rPr>
          <w:rFonts w:ascii="Arial" w:hAnsi="Arial" w:cs="Arial"/>
        </w:rPr>
        <w:t>In all cases, the outcome of the meeting will be confirmed in writing</w:t>
      </w:r>
      <w:r w:rsidR="00012455" w:rsidRPr="00012455">
        <w:rPr>
          <w:rFonts w:ascii="Arial" w:hAnsi="Arial" w:cs="Arial"/>
        </w:rPr>
        <w:t xml:space="preserve"> within 5 working days</w:t>
      </w:r>
      <w:r w:rsidRPr="00012455">
        <w:rPr>
          <w:rFonts w:ascii="Arial" w:hAnsi="Arial" w:cs="Arial"/>
        </w:rPr>
        <w:t>.</w:t>
      </w:r>
      <w:r w:rsidRPr="00012455">
        <w:rPr>
          <w:rFonts w:ascii="Arial" w:hAnsi="Arial" w:cs="Arial"/>
          <w:highlight w:val="yellow"/>
        </w:rPr>
        <w:br/>
      </w:r>
    </w:p>
    <w:p w14:paraId="0A618CBF" w14:textId="46D3DD4F" w:rsidR="00712D0A" w:rsidRPr="00012455" w:rsidRDefault="00712D0A" w:rsidP="00780F0D">
      <w:pPr>
        <w:spacing w:after="0" w:line="240" w:lineRule="auto"/>
        <w:rPr>
          <w:rFonts w:ascii="Arial" w:hAnsi="Arial" w:cs="Arial"/>
        </w:rPr>
      </w:pPr>
      <w:r w:rsidRPr="00012455">
        <w:rPr>
          <w:rFonts w:ascii="Arial" w:hAnsi="Arial" w:cs="Arial"/>
        </w:rPr>
        <w:t xml:space="preserve">If it is decided to recommend that the employee is dismissed, </w:t>
      </w:r>
      <w:r w:rsidR="006A773A" w:rsidRPr="00012455">
        <w:rPr>
          <w:rFonts w:ascii="Arial" w:hAnsi="Arial" w:cs="Arial"/>
        </w:rPr>
        <w:t>they</w:t>
      </w:r>
      <w:r w:rsidRPr="00012455">
        <w:rPr>
          <w:rFonts w:ascii="Arial" w:hAnsi="Arial" w:cs="Arial"/>
        </w:rPr>
        <w:t xml:space="preserve"> will be notified in writing that the recommendation to dismiss will be referred to a panel of governors in accordance with the school’s formal Disciplinary procedure. The employee will be given a copy of the Disciplinary procedure.</w:t>
      </w:r>
    </w:p>
    <w:p w14:paraId="4D226C66" w14:textId="3CA553BB" w:rsidR="005D7E5C" w:rsidRPr="0049738A" w:rsidRDefault="005D7E5C" w:rsidP="00712D0A">
      <w:pPr>
        <w:spacing w:after="0" w:line="240" w:lineRule="auto"/>
        <w:rPr>
          <w:rFonts w:ascii="Arial" w:hAnsi="Arial" w:cs="Arial"/>
        </w:rPr>
      </w:pPr>
    </w:p>
    <w:p w14:paraId="00FBDD0B" w14:textId="1BC993AB" w:rsidR="005D7E5C" w:rsidRPr="00012455" w:rsidRDefault="00012455" w:rsidP="00012455">
      <w:pPr>
        <w:pStyle w:val="Heading2"/>
      </w:pPr>
      <w:bookmarkStart w:id="0" w:name="gross_incomptence"/>
      <w:r>
        <w:t>8.</w:t>
      </w:r>
      <w:r w:rsidRPr="00012455">
        <w:t xml:space="preserve"> </w:t>
      </w:r>
      <w:r w:rsidR="005D7E5C" w:rsidRPr="00012455">
        <w:t>Gross incompetence</w:t>
      </w:r>
    </w:p>
    <w:p w14:paraId="1A504906" w14:textId="77777777" w:rsidR="00340FFC" w:rsidRPr="00340FFC" w:rsidRDefault="00340FFC" w:rsidP="00340FFC">
      <w:pPr>
        <w:rPr>
          <w:rFonts w:ascii="Arial" w:hAnsi="Arial" w:cs="Arial"/>
        </w:rPr>
      </w:pPr>
      <w:r w:rsidRPr="00340FFC">
        <w:rPr>
          <w:rFonts w:ascii="Arial" w:hAnsi="Arial" w:cs="Arial"/>
        </w:rPr>
        <w:t xml:space="preserve">Gross incompetence - occurs where an investigation identifies that an employee has failed, either by a single error or series of errors, to perform the duties of their role.  The outcome is that this causes or has caused serious harm or puts others (colleagues, general public or service users) or the </w:t>
      </w:r>
      <w:proofErr w:type="gramStart"/>
      <w:r w:rsidRPr="00340FFC">
        <w:rPr>
          <w:rFonts w:ascii="Arial" w:hAnsi="Arial" w:cs="Arial"/>
        </w:rPr>
        <w:t>School’s</w:t>
      </w:r>
      <w:proofErr w:type="gramEnd"/>
      <w:r w:rsidRPr="00340FFC">
        <w:rPr>
          <w:rFonts w:ascii="Arial" w:hAnsi="Arial" w:cs="Arial"/>
        </w:rPr>
        <w:t xml:space="preserve"> reputation and performance at serious risk. </w:t>
      </w:r>
    </w:p>
    <w:p w14:paraId="2758DB37" w14:textId="4190A6D3" w:rsidR="00340FFC" w:rsidRDefault="00340FFC" w:rsidP="00340FFC">
      <w:pPr>
        <w:rPr>
          <w:rFonts w:ascii="Arial" w:hAnsi="Arial" w:cs="Arial"/>
        </w:rPr>
      </w:pPr>
      <w:r w:rsidRPr="00340FFC">
        <w:rPr>
          <w:rFonts w:ascii="Arial" w:hAnsi="Arial" w:cs="Arial"/>
        </w:rPr>
        <w:t xml:space="preserve">Gross incompetence only applies in exceptional circumstances.  The manager must seek advice from </w:t>
      </w:r>
      <w:r>
        <w:rPr>
          <w:rFonts w:ascii="Arial" w:hAnsi="Arial" w:cs="Arial"/>
        </w:rPr>
        <w:t>their HR provider</w:t>
      </w:r>
      <w:r w:rsidRPr="00340FFC">
        <w:rPr>
          <w:rFonts w:ascii="Arial" w:hAnsi="Arial" w:cs="Arial"/>
        </w:rPr>
        <w:t xml:space="preserve"> in such cases.</w:t>
      </w:r>
    </w:p>
    <w:p w14:paraId="42C001FF" w14:textId="77777777" w:rsidR="00340FFC" w:rsidRPr="00340FFC" w:rsidRDefault="00340FFC" w:rsidP="00340FFC">
      <w:pPr>
        <w:rPr>
          <w:rFonts w:ascii="Arial" w:hAnsi="Arial" w:cs="Arial"/>
        </w:rPr>
      </w:pPr>
      <w:r w:rsidRPr="00340FFC">
        <w:rPr>
          <w:rFonts w:ascii="Arial" w:hAnsi="Arial" w:cs="Arial"/>
        </w:rPr>
        <w:t>The possible stages are:</w:t>
      </w:r>
    </w:p>
    <w:p w14:paraId="07526C3A" w14:textId="1BC56585" w:rsidR="00340FFC" w:rsidRDefault="00207DD3" w:rsidP="00340FFC">
      <w:pPr>
        <w:pStyle w:val="ListParagraph"/>
        <w:numPr>
          <w:ilvl w:val="0"/>
          <w:numId w:val="46"/>
        </w:numPr>
        <w:rPr>
          <w:rFonts w:ascii="Arial" w:hAnsi="Arial" w:cs="Arial"/>
        </w:rPr>
      </w:pPr>
      <w:r>
        <w:rPr>
          <w:rFonts w:ascii="Arial" w:hAnsi="Arial" w:cs="Arial"/>
        </w:rPr>
        <w:t xml:space="preserve">Decision Meeting </w:t>
      </w:r>
      <w:r w:rsidR="0036414F">
        <w:rPr>
          <w:rFonts w:ascii="Arial" w:hAnsi="Arial" w:cs="Arial"/>
        </w:rPr>
        <w:t>(</w:t>
      </w:r>
      <w:r w:rsidR="00340FFC">
        <w:rPr>
          <w:rFonts w:ascii="Arial" w:hAnsi="Arial" w:cs="Arial"/>
        </w:rPr>
        <w:t>S</w:t>
      </w:r>
      <w:r w:rsidR="00340FFC" w:rsidRPr="00340FFC">
        <w:rPr>
          <w:rFonts w:ascii="Arial" w:hAnsi="Arial" w:cs="Arial"/>
        </w:rPr>
        <w:t xml:space="preserve">tage </w:t>
      </w:r>
      <w:r w:rsidR="0036414F">
        <w:rPr>
          <w:rFonts w:ascii="Arial" w:hAnsi="Arial" w:cs="Arial"/>
        </w:rPr>
        <w:t>3)</w:t>
      </w:r>
      <w:r w:rsidR="00340FFC" w:rsidRPr="00340FFC">
        <w:rPr>
          <w:rFonts w:ascii="Arial" w:hAnsi="Arial" w:cs="Arial"/>
        </w:rPr>
        <w:t xml:space="preserve"> hearing - may result in dismissal</w:t>
      </w:r>
    </w:p>
    <w:p w14:paraId="655CB81A" w14:textId="22EC3B16" w:rsidR="00340FFC" w:rsidRDefault="00340FFC" w:rsidP="00340FFC">
      <w:pPr>
        <w:pStyle w:val="ListParagraph"/>
        <w:numPr>
          <w:ilvl w:val="0"/>
          <w:numId w:val="46"/>
        </w:numPr>
        <w:rPr>
          <w:rFonts w:ascii="Arial" w:hAnsi="Arial" w:cs="Arial"/>
        </w:rPr>
      </w:pPr>
      <w:r>
        <w:rPr>
          <w:rFonts w:ascii="Arial" w:hAnsi="Arial" w:cs="Arial"/>
        </w:rPr>
        <w:t>A</w:t>
      </w:r>
      <w:r w:rsidRPr="00340FFC">
        <w:rPr>
          <w:rFonts w:ascii="Arial" w:hAnsi="Arial" w:cs="Arial"/>
        </w:rPr>
        <w:t>ppeal.</w:t>
      </w:r>
    </w:p>
    <w:p w14:paraId="7A3575B7" w14:textId="0CE8D594" w:rsidR="00340FFC" w:rsidRPr="00340FFC" w:rsidRDefault="00340FFC" w:rsidP="00340FFC">
      <w:pPr>
        <w:rPr>
          <w:rFonts w:ascii="Arial" w:hAnsi="Arial" w:cs="Arial"/>
        </w:rPr>
      </w:pPr>
      <w:r w:rsidRPr="00340FFC">
        <w:rPr>
          <w:rFonts w:ascii="Arial" w:hAnsi="Arial" w:cs="Arial"/>
        </w:rPr>
        <w:t xml:space="preserve">Before </w:t>
      </w:r>
      <w:proofErr w:type="gramStart"/>
      <w:r w:rsidRPr="00340FFC">
        <w:rPr>
          <w:rFonts w:ascii="Arial" w:hAnsi="Arial" w:cs="Arial"/>
        </w:rPr>
        <w:t>making a decision</w:t>
      </w:r>
      <w:proofErr w:type="gramEnd"/>
      <w:r w:rsidRPr="00340FFC">
        <w:rPr>
          <w:rFonts w:ascii="Arial" w:hAnsi="Arial" w:cs="Arial"/>
        </w:rPr>
        <w:t xml:space="preserve"> about suspension or alternative arrangements, the appropriate manager must seek advice from Education Personnel Services. </w:t>
      </w:r>
    </w:p>
    <w:p w14:paraId="2DD69428" w14:textId="5B564EE7" w:rsidR="00340FFC" w:rsidRPr="00340FFC" w:rsidRDefault="00340FFC" w:rsidP="00340FFC">
      <w:pPr>
        <w:rPr>
          <w:rFonts w:ascii="Arial" w:hAnsi="Arial" w:cs="Arial"/>
        </w:rPr>
      </w:pPr>
      <w:r w:rsidRPr="00340FFC">
        <w:rPr>
          <w:rFonts w:ascii="Arial" w:hAnsi="Arial" w:cs="Arial"/>
        </w:rPr>
        <w:t>Suspension or alternative arrangements are neutral and precautionary acts.  They may be considered at any point during this policy once it is established that the circumstances may be gross incompetence.</w:t>
      </w:r>
    </w:p>
    <w:p w14:paraId="1BFE7DCD" w14:textId="77777777" w:rsidR="00340FFC" w:rsidRPr="00340FFC" w:rsidRDefault="00340FFC" w:rsidP="00340FFC">
      <w:pPr>
        <w:rPr>
          <w:rFonts w:ascii="Arial" w:hAnsi="Arial" w:cs="Arial"/>
        </w:rPr>
      </w:pPr>
      <w:r w:rsidRPr="00340FFC">
        <w:rPr>
          <w:rFonts w:ascii="Arial" w:hAnsi="Arial" w:cs="Arial"/>
        </w:rPr>
        <w:t>The appropriate governance arrangements must be adhered to in deciding whether suspension or alternative arrangements are appropriate.</w:t>
      </w:r>
    </w:p>
    <w:p w14:paraId="3117E914" w14:textId="77777777" w:rsidR="00340FFC" w:rsidRDefault="00340FFC" w:rsidP="00340FFC">
      <w:pPr>
        <w:rPr>
          <w:rFonts w:ascii="Arial" w:hAnsi="Arial" w:cs="Arial"/>
        </w:rPr>
      </w:pPr>
      <w:r w:rsidRPr="00340FFC">
        <w:rPr>
          <w:rFonts w:ascii="Arial" w:hAnsi="Arial" w:cs="Arial"/>
        </w:rPr>
        <w:t xml:space="preserve">During suspension or alternative </w:t>
      </w:r>
      <w:proofErr w:type="gramStart"/>
      <w:r w:rsidRPr="00340FFC">
        <w:rPr>
          <w:rFonts w:ascii="Arial" w:hAnsi="Arial" w:cs="Arial"/>
        </w:rPr>
        <w:t>arrangements</w:t>
      </w:r>
      <w:proofErr w:type="gramEnd"/>
      <w:r w:rsidRPr="00340FFC">
        <w:rPr>
          <w:rFonts w:ascii="Arial" w:hAnsi="Arial" w:cs="Arial"/>
        </w:rPr>
        <w:t xml:space="preserve"> the employee must adhere to all relevant requirements. </w:t>
      </w:r>
    </w:p>
    <w:p w14:paraId="7F24F2B4" w14:textId="2A343D14" w:rsidR="00340FFC" w:rsidRPr="00340FFC" w:rsidRDefault="00340FFC" w:rsidP="00340FFC">
      <w:pPr>
        <w:rPr>
          <w:rFonts w:ascii="Arial" w:hAnsi="Arial" w:cs="Arial"/>
        </w:rPr>
      </w:pPr>
      <w:r w:rsidRPr="00340FFC">
        <w:rPr>
          <w:rFonts w:ascii="Arial" w:hAnsi="Arial" w:cs="Arial"/>
        </w:rPr>
        <w:lastRenderedPageBreak/>
        <w:t>Written confirmation of the decision regarding suspension must be provided to the employee.</w:t>
      </w:r>
    </w:p>
    <w:p w14:paraId="0F063EA8" w14:textId="77777777" w:rsidR="00340FFC" w:rsidRPr="00340FFC" w:rsidRDefault="00340FFC" w:rsidP="00340FFC">
      <w:pPr>
        <w:rPr>
          <w:rFonts w:ascii="Arial" w:hAnsi="Arial" w:cs="Arial"/>
        </w:rPr>
      </w:pPr>
      <w:r w:rsidRPr="00340FFC">
        <w:rPr>
          <w:rFonts w:ascii="Arial" w:hAnsi="Arial" w:cs="Arial"/>
        </w:rPr>
        <w:t>Suspension or alternative arrangements must be regularly reviewed.</w:t>
      </w:r>
    </w:p>
    <w:p w14:paraId="5BA37A15" w14:textId="43A0DA70" w:rsidR="00340FFC" w:rsidRDefault="00340FFC" w:rsidP="00340FFC">
      <w:pPr>
        <w:rPr>
          <w:rFonts w:ascii="Arial" w:hAnsi="Arial" w:cs="Arial"/>
        </w:rPr>
      </w:pPr>
      <w:r w:rsidRPr="00340FFC">
        <w:rPr>
          <w:rFonts w:ascii="Arial" w:hAnsi="Arial" w:cs="Arial"/>
        </w:rPr>
        <w:t>There is no right of appeal against the decision to apply alternative arrangements or suspension.</w:t>
      </w:r>
    </w:p>
    <w:p w14:paraId="257FBDED" w14:textId="77777777" w:rsidR="00340FFC" w:rsidRPr="00340FFC" w:rsidRDefault="00340FFC" w:rsidP="00340FFC">
      <w:pPr>
        <w:rPr>
          <w:rFonts w:ascii="Arial" w:hAnsi="Arial" w:cs="Arial"/>
        </w:rPr>
      </w:pPr>
    </w:p>
    <w:bookmarkEnd w:id="0"/>
    <w:p w14:paraId="4D87D4A6" w14:textId="724B1EDF" w:rsidR="00712D0A" w:rsidRPr="0049738A" w:rsidRDefault="00012455" w:rsidP="00012455">
      <w:pPr>
        <w:pStyle w:val="Heading2"/>
      </w:pPr>
      <w:r w:rsidRPr="00012455">
        <w:t xml:space="preserve">9.  </w:t>
      </w:r>
      <w:r w:rsidR="00712D0A" w:rsidRPr="00012455">
        <w:t>Decision to dismiss</w:t>
      </w:r>
      <w:r w:rsidR="00712D0A" w:rsidRPr="0049738A">
        <w:t xml:space="preserve"> </w:t>
      </w:r>
    </w:p>
    <w:p w14:paraId="6EF5D25F" w14:textId="77777777" w:rsidR="00712D0A" w:rsidRPr="0049738A" w:rsidRDefault="00712D0A" w:rsidP="00712D0A">
      <w:pPr>
        <w:rPr>
          <w:rFonts w:ascii="Arial" w:hAnsi="Arial" w:cs="Arial"/>
          <w:b/>
        </w:rPr>
      </w:pPr>
      <w:r w:rsidRPr="008A21C8">
        <w:rPr>
          <w:rFonts w:ascii="Arial" w:hAnsi="Arial" w:cs="Arial"/>
          <w:b/>
        </w:rPr>
        <w:t xml:space="preserve">IMPORTANT NOTE: Although governing bodies have the power to delegate dismissal decisions, they are strongly recommended </w:t>
      </w:r>
      <w:r w:rsidRPr="008A21C8">
        <w:rPr>
          <w:rFonts w:ascii="Arial" w:hAnsi="Arial" w:cs="Arial"/>
          <w:b/>
          <w:u w:val="single"/>
        </w:rPr>
        <w:t>not</w:t>
      </w:r>
      <w:r w:rsidRPr="008A21C8">
        <w:rPr>
          <w:rFonts w:ascii="Arial" w:hAnsi="Arial" w:cs="Arial"/>
          <w:b/>
        </w:rPr>
        <w:t xml:space="preserve"> to delegate such decisions to one person acting alone.</w:t>
      </w:r>
    </w:p>
    <w:p w14:paraId="6214FC91" w14:textId="5FE5183D" w:rsidR="00712D0A" w:rsidRPr="00012455" w:rsidRDefault="00712D0A" w:rsidP="00012455">
      <w:pPr>
        <w:ind w:left="1440" w:hanging="1440"/>
        <w:rPr>
          <w:rFonts w:ascii="Arial" w:hAnsi="Arial" w:cs="Arial"/>
        </w:rPr>
      </w:pPr>
      <w:proofErr w:type="gramStart"/>
      <w:r w:rsidRPr="00012455">
        <w:rPr>
          <w:rFonts w:ascii="Arial" w:hAnsi="Arial" w:cs="Arial"/>
        </w:rPr>
        <w:t>Either</w:t>
      </w:r>
      <w:r w:rsidR="00012455">
        <w:rPr>
          <w:rFonts w:ascii="Arial" w:hAnsi="Arial" w:cs="Arial"/>
        </w:rPr>
        <w:t>:</w:t>
      </w:r>
      <w:proofErr w:type="gramEnd"/>
      <w:r w:rsidRPr="00012455">
        <w:rPr>
          <w:rFonts w:ascii="Arial" w:hAnsi="Arial" w:cs="Arial"/>
        </w:rPr>
        <w:t xml:space="preserve">  </w:t>
      </w:r>
      <w:r w:rsidR="00C30955" w:rsidRPr="00012455">
        <w:rPr>
          <w:rFonts w:ascii="Arial" w:hAnsi="Arial" w:cs="Arial"/>
        </w:rPr>
        <w:tab/>
      </w:r>
      <w:r w:rsidRPr="00012455">
        <w:rPr>
          <w:rFonts w:ascii="Arial" w:hAnsi="Arial" w:cs="Arial"/>
        </w:rPr>
        <w:t xml:space="preserve">The power to decide that members of staff should no longer work at this school rests with the Governing Body. </w:t>
      </w:r>
    </w:p>
    <w:p w14:paraId="5A2A3F4F" w14:textId="3F4B6063" w:rsidR="00712D0A" w:rsidRPr="00012455" w:rsidRDefault="00712D0A" w:rsidP="00012455">
      <w:pPr>
        <w:ind w:left="1440" w:hanging="1440"/>
        <w:rPr>
          <w:rFonts w:ascii="Arial" w:hAnsi="Arial" w:cs="Arial"/>
        </w:rPr>
      </w:pPr>
      <w:r w:rsidRPr="00012455">
        <w:rPr>
          <w:rFonts w:ascii="Arial" w:hAnsi="Arial" w:cs="Arial"/>
        </w:rPr>
        <w:t>Or:</w:t>
      </w:r>
      <w:r w:rsidRPr="00012455">
        <w:rPr>
          <w:rFonts w:ascii="Arial" w:hAnsi="Arial" w:cs="Arial"/>
        </w:rPr>
        <w:tab/>
        <w:t xml:space="preserve">The power to decide that members of staff should no longer work at this school has been delegated to </w:t>
      </w:r>
      <w:r w:rsidRPr="00012455">
        <w:rPr>
          <w:rFonts w:ascii="Arial" w:hAnsi="Arial" w:cs="Arial"/>
          <w:i/>
        </w:rPr>
        <w:t>the headteacher / to one or more governors / to one or more governors acting with the headteacher.</w:t>
      </w:r>
      <w:r w:rsidRPr="00012455">
        <w:rPr>
          <w:rFonts w:ascii="Arial" w:hAnsi="Arial" w:cs="Arial"/>
        </w:rPr>
        <w:t xml:space="preserve"> (</w:t>
      </w:r>
      <w:proofErr w:type="gramStart"/>
      <w:r w:rsidRPr="00012455">
        <w:rPr>
          <w:rFonts w:ascii="Arial" w:hAnsi="Arial" w:cs="Arial"/>
          <w:i/>
        </w:rPr>
        <w:t>delete</w:t>
      </w:r>
      <w:proofErr w:type="gramEnd"/>
      <w:r w:rsidRPr="00012455">
        <w:rPr>
          <w:rFonts w:ascii="Arial" w:hAnsi="Arial" w:cs="Arial"/>
          <w:i/>
        </w:rPr>
        <w:t xml:space="preserve"> as appropriate).</w:t>
      </w:r>
      <w:r w:rsidRPr="00012455">
        <w:rPr>
          <w:rFonts w:ascii="Arial" w:hAnsi="Arial" w:cs="Arial"/>
        </w:rPr>
        <w:t xml:space="preserve">  </w:t>
      </w:r>
    </w:p>
    <w:p w14:paraId="21CBA479" w14:textId="14090F9F" w:rsidR="00712D0A" w:rsidRPr="0049738A" w:rsidRDefault="006C77AC" w:rsidP="00012455">
      <w:pPr>
        <w:pStyle w:val="Heading2"/>
        <w:numPr>
          <w:ilvl w:val="0"/>
          <w:numId w:val="44"/>
        </w:numPr>
        <w:ind w:hanging="526"/>
        <w:jc w:val="both"/>
        <w:rPr>
          <w:rFonts w:ascii="Arial" w:hAnsi="Arial" w:cs="Arial"/>
        </w:rPr>
      </w:pPr>
      <w:r w:rsidRPr="0049738A">
        <w:rPr>
          <w:rFonts w:ascii="Arial" w:hAnsi="Arial" w:cs="Arial"/>
        </w:rPr>
        <w:t>D</w:t>
      </w:r>
      <w:r w:rsidR="00712D0A" w:rsidRPr="0049738A">
        <w:rPr>
          <w:rFonts w:ascii="Arial" w:hAnsi="Arial" w:cs="Arial"/>
        </w:rPr>
        <w:t>ismissal procedure</w:t>
      </w:r>
      <w:r w:rsidR="008D6F5B">
        <w:rPr>
          <w:rFonts w:ascii="Arial" w:hAnsi="Arial" w:cs="Arial"/>
        </w:rPr>
        <w:t xml:space="preserve"> (Stage 4)</w:t>
      </w:r>
    </w:p>
    <w:p w14:paraId="4AB7C184" w14:textId="5BD66D03" w:rsidR="00712D0A" w:rsidRPr="0049738A" w:rsidRDefault="00712D0A" w:rsidP="00EF7121">
      <w:pPr>
        <w:spacing w:after="0" w:line="240" w:lineRule="auto"/>
        <w:rPr>
          <w:rFonts w:ascii="Arial" w:hAnsi="Arial" w:cs="Arial"/>
        </w:rPr>
      </w:pPr>
      <w:r w:rsidRPr="0049738A">
        <w:rPr>
          <w:rFonts w:ascii="Arial" w:hAnsi="Arial" w:cs="Arial"/>
        </w:rPr>
        <w:t xml:space="preserve">A formal </w:t>
      </w:r>
      <w:r w:rsidR="0049738A">
        <w:rPr>
          <w:rFonts w:ascii="Arial" w:hAnsi="Arial" w:cs="Arial"/>
        </w:rPr>
        <w:t xml:space="preserve">decision </w:t>
      </w:r>
      <w:r w:rsidRPr="0049738A">
        <w:rPr>
          <w:rFonts w:ascii="Arial" w:hAnsi="Arial" w:cs="Arial"/>
        </w:rPr>
        <w:t xml:space="preserve">meeting will be arranged between the employee and the Governing Body’s Staff Dismissal Panel, the headteacher or the person who has conducted the Professional Capability Procedure will present the recommendation to the panel.  </w:t>
      </w:r>
    </w:p>
    <w:p w14:paraId="5EE59A6C" w14:textId="77777777" w:rsidR="00EF7121" w:rsidRPr="0049738A" w:rsidRDefault="00EF7121" w:rsidP="00EF7121">
      <w:pPr>
        <w:spacing w:after="0" w:line="240" w:lineRule="auto"/>
        <w:rPr>
          <w:rFonts w:ascii="Arial" w:hAnsi="Arial" w:cs="Arial"/>
        </w:rPr>
      </w:pPr>
    </w:p>
    <w:p w14:paraId="6E97D280" w14:textId="77777777" w:rsidR="00712D0A" w:rsidRPr="0049738A" w:rsidRDefault="00712D0A" w:rsidP="00780F0D">
      <w:pPr>
        <w:rPr>
          <w:rFonts w:ascii="Arial" w:hAnsi="Arial" w:cs="Arial"/>
          <w:i/>
        </w:rPr>
      </w:pPr>
      <w:r w:rsidRPr="0049738A">
        <w:rPr>
          <w:rFonts w:ascii="Arial" w:hAnsi="Arial" w:cs="Arial"/>
        </w:rPr>
        <w:t xml:space="preserve">Once the Governing Body </w:t>
      </w:r>
      <w:r w:rsidRPr="00D5516F">
        <w:rPr>
          <w:rFonts w:ascii="Arial" w:hAnsi="Arial" w:cs="Arial"/>
          <w:color w:val="FF0000"/>
        </w:rPr>
        <w:t>(</w:t>
      </w:r>
      <w:r w:rsidRPr="0037762E">
        <w:rPr>
          <w:rFonts w:ascii="Arial" w:hAnsi="Arial" w:cs="Arial"/>
          <w:i/>
        </w:rPr>
        <w:t xml:space="preserve">or insert details of person or people to whom the power has been delegated) </w:t>
      </w:r>
      <w:r w:rsidRPr="0049738A">
        <w:rPr>
          <w:rFonts w:ascii="Arial" w:hAnsi="Arial" w:cs="Arial"/>
        </w:rPr>
        <w:t xml:space="preserve">has decided that the employee should no longer work at the school, it will notify the Local Authority of its decision and the reasons for it.  Where teachers work solely at this school, the Local Authority must dismiss them within fourteen days of the date of the notification. Where they work in more than one school, the local authority must require them to cease to work at this school. </w:t>
      </w:r>
    </w:p>
    <w:p w14:paraId="51735FD3" w14:textId="0C0238B5" w:rsidR="00712D0A" w:rsidRPr="0049738A" w:rsidRDefault="006C77AC" w:rsidP="00D5516F">
      <w:pPr>
        <w:pStyle w:val="Heading2"/>
        <w:numPr>
          <w:ilvl w:val="0"/>
          <w:numId w:val="44"/>
        </w:numPr>
        <w:ind w:hanging="526"/>
        <w:rPr>
          <w:rFonts w:ascii="Arial" w:hAnsi="Arial" w:cs="Arial"/>
        </w:rPr>
      </w:pPr>
      <w:r w:rsidRPr="0049738A">
        <w:rPr>
          <w:rFonts w:ascii="Arial" w:hAnsi="Arial" w:cs="Arial"/>
        </w:rPr>
        <w:t>A</w:t>
      </w:r>
      <w:r w:rsidR="00712D0A" w:rsidRPr="0049738A">
        <w:rPr>
          <w:rFonts w:ascii="Arial" w:hAnsi="Arial" w:cs="Arial"/>
        </w:rPr>
        <w:t xml:space="preserve">ppeals </w:t>
      </w:r>
    </w:p>
    <w:p w14:paraId="52300E13" w14:textId="624EF3DF" w:rsidR="00712D0A" w:rsidRPr="0049738A" w:rsidRDefault="00712D0A" w:rsidP="00780F0D">
      <w:pPr>
        <w:pStyle w:val="NormalWeb"/>
        <w:spacing w:before="100" w:beforeAutospacing="1" w:after="0" w:line="240" w:lineRule="auto"/>
        <w:rPr>
          <w:rFonts w:ascii="Arial" w:hAnsi="Arial" w:cs="Arial"/>
        </w:rPr>
      </w:pPr>
      <w:r w:rsidRPr="0049738A">
        <w:rPr>
          <w:rFonts w:ascii="Arial" w:hAnsi="Arial" w:cs="Arial"/>
        </w:rPr>
        <w:t xml:space="preserve">If an employee </w:t>
      </w:r>
      <w:r w:rsidR="0049738A">
        <w:rPr>
          <w:rFonts w:ascii="Arial" w:hAnsi="Arial" w:cs="Arial"/>
        </w:rPr>
        <w:t>believes</w:t>
      </w:r>
      <w:r w:rsidRPr="0049738A">
        <w:rPr>
          <w:rFonts w:ascii="Arial" w:hAnsi="Arial" w:cs="Arial"/>
        </w:rPr>
        <w:t xml:space="preserve"> that a decision to dismiss them,</w:t>
      </w:r>
      <w:r w:rsidRPr="0049738A">
        <w:rPr>
          <w:rFonts w:ascii="Arial" w:hAnsi="Arial" w:cs="Arial"/>
          <w:i/>
        </w:rPr>
        <w:t xml:space="preserve"> </w:t>
      </w:r>
      <w:r w:rsidRPr="0049738A">
        <w:rPr>
          <w:rFonts w:ascii="Arial" w:hAnsi="Arial" w:cs="Arial"/>
        </w:rPr>
        <w:t>or other action taken against them</w:t>
      </w:r>
      <w:r w:rsidR="0036414F">
        <w:rPr>
          <w:rFonts w:ascii="Arial" w:hAnsi="Arial" w:cs="Arial"/>
        </w:rPr>
        <w:t xml:space="preserve"> (formal warning or dismissal)</w:t>
      </w:r>
      <w:r w:rsidRPr="0049738A">
        <w:rPr>
          <w:rFonts w:ascii="Arial" w:hAnsi="Arial" w:cs="Arial"/>
          <w:i/>
        </w:rPr>
        <w:t xml:space="preserve">, </w:t>
      </w:r>
      <w:r w:rsidRPr="0049738A">
        <w:rPr>
          <w:rFonts w:ascii="Arial" w:hAnsi="Arial" w:cs="Arial"/>
        </w:rPr>
        <w:t xml:space="preserve">is wrong or unjust, they may appeal </w:t>
      </w:r>
      <w:r w:rsidRPr="0049738A">
        <w:rPr>
          <w:rFonts w:ascii="Arial" w:hAnsi="Arial" w:cs="Arial"/>
          <w:bCs/>
        </w:rPr>
        <w:t>in writing</w:t>
      </w:r>
      <w:r w:rsidRPr="0049738A">
        <w:rPr>
          <w:rFonts w:ascii="Arial" w:hAnsi="Arial" w:cs="Arial"/>
        </w:rPr>
        <w:t xml:space="preserve"> against the decision within </w:t>
      </w:r>
      <w:r w:rsidR="00372098">
        <w:rPr>
          <w:rFonts w:ascii="Arial" w:hAnsi="Arial" w:cs="Arial"/>
        </w:rPr>
        <w:t>10</w:t>
      </w:r>
      <w:r w:rsidRPr="0049738A">
        <w:rPr>
          <w:rFonts w:ascii="Arial" w:hAnsi="Arial" w:cs="Arial"/>
        </w:rPr>
        <w:t xml:space="preserve"> working days of the decision,</w:t>
      </w:r>
      <w:r w:rsidRPr="0049738A">
        <w:rPr>
          <w:rFonts w:ascii="Arial" w:hAnsi="Arial" w:cs="Arial"/>
          <w:i/>
        </w:rPr>
        <w:t xml:space="preserve"> </w:t>
      </w:r>
      <w:r w:rsidRPr="0049738A">
        <w:rPr>
          <w:rFonts w:ascii="Arial" w:hAnsi="Arial" w:cs="Arial"/>
          <w:bCs/>
        </w:rPr>
        <w:t>setting out at the same time the grounds for appeal</w:t>
      </w:r>
      <w:r w:rsidRPr="0049738A">
        <w:rPr>
          <w:rFonts w:ascii="Arial" w:hAnsi="Arial" w:cs="Arial"/>
        </w:rPr>
        <w:t xml:space="preserve">. Appeals will be heard without unreasonable delay and, where possible, at an agreed time and place. The same arrangements for </w:t>
      </w:r>
      <w:r w:rsidRPr="0049738A">
        <w:rPr>
          <w:rFonts w:ascii="Arial" w:hAnsi="Arial" w:cs="Arial"/>
        </w:rPr>
        <w:lastRenderedPageBreak/>
        <w:t xml:space="preserve">notification and right to be accompanied by a companion will apply as with formal capability and review meetings and, as with other formal meetings, notes will be </w:t>
      </w:r>
      <w:proofErr w:type="gramStart"/>
      <w:r w:rsidRPr="0049738A">
        <w:rPr>
          <w:rFonts w:ascii="Arial" w:hAnsi="Arial" w:cs="Arial"/>
        </w:rPr>
        <w:t>taken</w:t>
      </w:r>
      <w:proofErr w:type="gramEnd"/>
      <w:r w:rsidRPr="0049738A">
        <w:rPr>
          <w:rFonts w:ascii="Arial" w:hAnsi="Arial" w:cs="Arial"/>
        </w:rPr>
        <w:t xml:space="preserve"> and a copy sent to the employee.  </w:t>
      </w:r>
    </w:p>
    <w:p w14:paraId="1898C260" w14:textId="77777777" w:rsidR="00712D0A" w:rsidRPr="0049738A" w:rsidRDefault="00712D0A" w:rsidP="00712D0A">
      <w:pPr>
        <w:pStyle w:val="NormalWeb"/>
        <w:spacing w:after="0"/>
        <w:rPr>
          <w:rFonts w:ascii="Arial" w:hAnsi="Arial" w:cs="Arial"/>
        </w:rPr>
      </w:pPr>
    </w:p>
    <w:p w14:paraId="37659DB0" w14:textId="097F01D2" w:rsidR="00712D0A" w:rsidRPr="0049738A" w:rsidRDefault="00712D0A" w:rsidP="00780F0D">
      <w:pPr>
        <w:pStyle w:val="NormalWeb"/>
        <w:spacing w:after="0" w:line="240" w:lineRule="auto"/>
        <w:rPr>
          <w:rFonts w:ascii="Arial" w:hAnsi="Arial" w:cs="Arial"/>
        </w:rPr>
      </w:pPr>
      <w:r w:rsidRPr="0049738A">
        <w:rPr>
          <w:rFonts w:ascii="Arial" w:hAnsi="Arial" w:cs="Arial"/>
        </w:rPr>
        <w:t>The appeal will be dealt with impartially and, wherever possible, by managers or governors</w:t>
      </w:r>
      <w:r w:rsidR="002B6027">
        <w:rPr>
          <w:rFonts w:ascii="Arial" w:hAnsi="Arial" w:cs="Arial"/>
        </w:rPr>
        <w:t xml:space="preserve"> (3 members)</w:t>
      </w:r>
      <w:r w:rsidRPr="0049738A">
        <w:rPr>
          <w:rFonts w:ascii="Arial" w:hAnsi="Arial" w:cs="Arial"/>
        </w:rPr>
        <w:t xml:space="preserve"> who have not previously been involved in the case. Appeals against formal warnings before the Decision to Dismiss stage may be heard by a senior manager or an individual governor who has not been previously involved with the case. </w:t>
      </w:r>
      <w:r w:rsidR="002B6027" w:rsidRPr="002B6027">
        <w:t xml:space="preserve"> </w:t>
      </w:r>
      <w:r w:rsidR="002B6027">
        <w:t>An appeal against a dismissal should be heard by 3 Governors.</w:t>
      </w:r>
    </w:p>
    <w:p w14:paraId="505F4759" w14:textId="77777777" w:rsidR="00712D0A" w:rsidRPr="0049738A" w:rsidRDefault="00712D0A" w:rsidP="00712D0A">
      <w:pPr>
        <w:pStyle w:val="NormalWeb"/>
        <w:spacing w:after="0"/>
        <w:ind w:left="360"/>
        <w:rPr>
          <w:rFonts w:ascii="Arial" w:hAnsi="Arial" w:cs="Arial"/>
        </w:rPr>
      </w:pPr>
    </w:p>
    <w:p w14:paraId="7240F613" w14:textId="4603FA81" w:rsidR="00712D0A" w:rsidRPr="0049738A" w:rsidRDefault="00712D0A" w:rsidP="00780F0D">
      <w:pPr>
        <w:pStyle w:val="NormalWeb"/>
        <w:spacing w:after="0" w:line="240" w:lineRule="auto"/>
        <w:rPr>
          <w:rFonts w:ascii="Arial" w:hAnsi="Arial" w:cs="Arial"/>
        </w:rPr>
      </w:pPr>
      <w:r w:rsidRPr="0049738A">
        <w:rPr>
          <w:rFonts w:ascii="Arial" w:hAnsi="Arial" w:cs="Arial"/>
        </w:rPr>
        <w:t xml:space="preserve">Appeals should normally be restricted to considering the reasonableness of the decision made, any relevant new evidence or any procedural irregularities. Where the reasonableness of the decision is being questioned, the test should be that the decision was perverse, in that it was so unreasonable that no other headteacher or manager, acting with proper regard to </w:t>
      </w:r>
      <w:r w:rsidR="0063463A" w:rsidRPr="0049738A">
        <w:rPr>
          <w:rFonts w:ascii="Arial" w:hAnsi="Arial" w:cs="Arial"/>
        </w:rPr>
        <w:t>their</w:t>
      </w:r>
      <w:r w:rsidRPr="0049738A">
        <w:rPr>
          <w:rFonts w:ascii="Arial" w:hAnsi="Arial" w:cs="Arial"/>
        </w:rPr>
        <w:t xml:space="preserve"> responsibilities, could have chosen to take it. Where an appeal is </w:t>
      </w:r>
      <w:proofErr w:type="gramStart"/>
      <w:r w:rsidRPr="0049738A">
        <w:rPr>
          <w:rFonts w:ascii="Arial" w:hAnsi="Arial" w:cs="Arial"/>
        </w:rPr>
        <w:t>upheld</w:t>
      </w:r>
      <w:proofErr w:type="gramEnd"/>
      <w:r w:rsidRPr="0049738A">
        <w:rPr>
          <w:rFonts w:ascii="Arial" w:hAnsi="Arial" w:cs="Arial"/>
        </w:rPr>
        <w:t xml:space="preserve"> the matter should be referred back to the headteacher or person conducting the procedure to be reconsidered or for further appropriate action. Where monitoring would otherwise be continuing, it should not be halted while an appeal is pending.</w:t>
      </w:r>
    </w:p>
    <w:p w14:paraId="412D2173" w14:textId="77777777" w:rsidR="00712D0A" w:rsidRPr="0049738A" w:rsidRDefault="00712D0A" w:rsidP="00712D0A">
      <w:pPr>
        <w:pStyle w:val="ListParagraph"/>
        <w:numPr>
          <w:ilvl w:val="0"/>
          <w:numId w:val="0"/>
        </w:numPr>
        <w:ind w:left="907"/>
        <w:rPr>
          <w:rFonts w:ascii="Arial" w:hAnsi="Arial" w:cs="Arial"/>
          <w:szCs w:val="24"/>
        </w:rPr>
      </w:pPr>
    </w:p>
    <w:p w14:paraId="4A88A197" w14:textId="2DC07B64" w:rsidR="003859EC" w:rsidRPr="0049738A" w:rsidRDefault="00712D0A" w:rsidP="00780F0D">
      <w:pPr>
        <w:pStyle w:val="NormalWeb"/>
        <w:spacing w:after="0" w:line="240" w:lineRule="auto"/>
        <w:rPr>
          <w:rFonts w:ascii="Arial" w:hAnsi="Arial" w:cs="Arial"/>
        </w:rPr>
      </w:pPr>
      <w:r w:rsidRPr="0049738A">
        <w:rPr>
          <w:rFonts w:ascii="Arial" w:hAnsi="Arial" w:cs="Arial"/>
        </w:rPr>
        <w:t xml:space="preserve">The employee will be informed in writing of the results of the appeal hearing within three working days of the date of the hearing. </w:t>
      </w:r>
    </w:p>
    <w:p w14:paraId="1A95752F" w14:textId="4305EE65" w:rsidR="003859EC" w:rsidRPr="00D5516F" w:rsidRDefault="006C77AC" w:rsidP="00D5516F">
      <w:pPr>
        <w:pStyle w:val="Heading2"/>
        <w:numPr>
          <w:ilvl w:val="0"/>
          <w:numId w:val="44"/>
        </w:numPr>
        <w:ind w:hanging="526"/>
      </w:pPr>
      <w:r w:rsidRPr="00D5516F">
        <w:t>Ref</w:t>
      </w:r>
      <w:r w:rsidR="003859EC" w:rsidRPr="00D5516F">
        <w:t>erral to Occupational Health</w:t>
      </w:r>
    </w:p>
    <w:p w14:paraId="4E0647C3" w14:textId="332FA205" w:rsidR="00D5516F" w:rsidRPr="008A21C8" w:rsidRDefault="003859EC" w:rsidP="001F4EAF">
      <w:pPr>
        <w:widowControl w:val="0"/>
        <w:tabs>
          <w:tab w:val="left" w:pos="1590"/>
        </w:tabs>
        <w:ind w:right="283"/>
        <w:rPr>
          <w:rFonts w:ascii="Arial" w:hAnsi="Arial" w:cs="Arial"/>
          <w:b/>
          <w:sz w:val="28"/>
          <w:szCs w:val="28"/>
        </w:rPr>
      </w:pPr>
      <w:r w:rsidRPr="008A21C8">
        <w:rPr>
          <w:rFonts w:ascii="Arial" w:hAnsi="Arial" w:cs="Arial"/>
        </w:rPr>
        <w:t xml:space="preserve">It may be necessary to refer the employee to Occupational Health/ medical practitioner to obtain medical advice and </w:t>
      </w:r>
      <w:r w:rsidR="006F052C" w:rsidRPr="008A21C8">
        <w:rPr>
          <w:rFonts w:ascii="Arial" w:hAnsi="Arial" w:cs="Arial"/>
        </w:rPr>
        <w:t>information. If</w:t>
      </w:r>
      <w:r w:rsidRPr="008A21C8">
        <w:rPr>
          <w:rFonts w:ascii="Arial" w:hAnsi="Arial" w:cs="Arial"/>
        </w:rPr>
        <w:t xml:space="preserve"> an employee does not co-operate with the referral, any assessment or decision taken will be based on the information available.</w:t>
      </w:r>
    </w:p>
    <w:p w14:paraId="0AB0F56B" w14:textId="439549C2" w:rsidR="00712D0A" w:rsidRPr="008A21C8" w:rsidRDefault="00D5516F" w:rsidP="00D5516F">
      <w:pPr>
        <w:pStyle w:val="Heading2"/>
        <w:rPr>
          <w:i/>
        </w:rPr>
      </w:pPr>
      <w:r w:rsidRPr="008A21C8">
        <w:t>13.</w:t>
      </w:r>
      <w:r w:rsidR="00255809" w:rsidRPr="008A21C8">
        <w:t xml:space="preserve"> </w:t>
      </w:r>
      <w:r w:rsidR="0049738A" w:rsidRPr="008A21C8">
        <w:tab/>
      </w:r>
      <w:r w:rsidR="00712D0A" w:rsidRPr="008A21C8">
        <w:t xml:space="preserve">Provision of information about teacher or headteacher capability </w:t>
      </w:r>
    </w:p>
    <w:p w14:paraId="41C3B076" w14:textId="28059B25" w:rsidR="00712D0A" w:rsidRPr="008A21C8" w:rsidRDefault="00712D0A" w:rsidP="00255809">
      <w:pPr>
        <w:pStyle w:val="NormalWeb"/>
        <w:spacing w:before="100" w:beforeAutospacing="1" w:after="0" w:line="240" w:lineRule="auto"/>
        <w:rPr>
          <w:rFonts w:ascii="Arial" w:hAnsi="Arial" w:cs="Arial"/>
        </w:rPr>
      </w:pPr>
      <w:r w:rsidRPr="008A21C8">
        <w:rPr>
          <w:rFonts w:ascii="Arial" w:hAnsi="Arial" w:cs="Arial"/>
        </w:rPr>
        <w:t>Where a teacher or headteacher applies for a teaching post at another school, the governing body must, on request, advise in writing whether the teacher or headteacher has, in the preceding two years, been subject to capability procedures. If this is the case, they must provide written details of the concerns which gave rise to capability procedures, the duration of the proceedings and their outcome.</w:t>
      </w:r>
    </w:p>
    <w:p w14:paraId="2391A483" w14:textId="2016C2A7" w:rsidR="003859EC" w:rsidRPr="008A21C8" w:rsidRDefault="00255809" w:rsidP="00D5516F">
      <w:pPr>
        <w:pStyle w:val="Heading2"/>
      </w:pPr>
      <w:bookmarkStart w:id="1" w:name="Safeguarding"/>
      <w:r w:rsidRPr="008A21C8">
        <w:t>1</w:t>
      </w:r>
      <w:r w:rsidR="00D5516F" w:rsidRPr="008A21C8">
        <w:t>4</w:t>
      </w:r>
      <w:r w:rsidRPr="008A21C8">
        <w:t xml:space="preserve">. </w:t>
      </w:r>
      <w:r w:rsidR="003859EC" w:rsidRPr="008A21C8">
        <w:t xml:space="preserve">Safeguarding concern </w:t>
      </w:r>
      <w:bookmarkEnd w:id="1"/>
      <w:r w:rsidR="003859EC" w:rsidRPr="008A21C8">
        <w:t>(relating to vulnerable adults, children and young people)</w:t>
      </w:r>
    </w:p>
    <w:p w14:paraId="734406FE" w14:textId="5CA2B338" w:rsidR="003859EC" w:rsidRPr="008A21C8" w:rsidRDefault="003859EC" w:rsidP="003859EC">
      <w:pPr>
        <w:widowControl w:val="0"/>
        <w:ind w:left="34" w:hanging="34"/>
        <w:rPr>
          <w:rFonts w:ascii="Arial" w:hAnsi="Arial" w:cs="Arial"/>
        </w:rPr>
      </w:pPr>
      <w:r w:rsidRPr="008A21C8">
        <w:rPr>
          <w:rFonts w:ascii="Arial" w:hAnsi="Arial" w:cs="Arial"/>
        </w:rPr>
        <w:t xml:space="preserve">The </w:t>
      </w:r>
      <w:proofErr w:type="gramStart"/>
      <w:r w:rsidRPr="008A21C8">
        <w:rPr>
          <w:rFonts w:ascii="Arial" w:hAnsi="Arial" w:cs="Arial"/>
        </w:rPr>
        <w:t>School</w:t>
      </w:r>
      <w:proofErr w:type="gramEnd"/>
      <w:r w:rsidRPr="008A21C8">
        <w:rPr>
          <w:rFonts w:ascii="Arial" w:hAnsi="Arial" w:cs="Arial"/>
        </w:rPr>
        <w:t xml:space="preserve"> may take action under the Capability policy for reasons that relate to a safeguarding concern.  Such cases must be dealt with in accordance with Oxfordshire’s Child Protection procedures.  This ensures that a child, young </w:t>
      </w:r>
      <w:r w:rsidRPr="008A21C8">
        <w:rPr>
          <w:rFonts w:ascii="Arial" w:hAnsi="Arial" w:cs="Arial"/>
          <w:color w:val="000000"/>
        </w:rPr>
        <w:t>person</w:t>
      </w:r>
      <w:r w:rsidRPr="008A21C8">
        <w:rPr>
          <w:rFonts w:ascii="Arial" w:hAnsi="Arial" w:cs="Arial"/>
        </w:rPr>
        <w:t xml:space="preserve"> or vulnerable adult is not at risk or that a police or social care investigation is </w:t>
      </w:r>
      <w:r w:rsidRPr="008A21C8">
        <w:rPr>
          <w:rFonts w:ascii="Arial" w:hAnsi="Arial" w:cs="Arial"/>
        </w:rPr>
        <w:lastRenderedPageBreak/>
        <w:t xml:space="preserve">prejudiced. </w:t>
      </w:r>
    </w:p>
    <w:p w14:paraId="00DF0280" w14:textId="77777777" w:rsidR="00034682" w:rsidRPr="008A21C8" w:rsidRDefault="00034682" w:rsidP="00034682">
      <w:pPr>
        <w:pStyle w:val="NormalWeb"/>
        <w:spacing w:before="100" w:beforeAutospacing="1" w:after="0" w:line="240" w:lineRule="auto"/>
        <w:rPr>
          <w:rFonts w:ascii="Arial" w:hAnsi="Arial" w:cs="Arial"/>
        </w:rPr>
      </w:pPr>
      <w:r w:rsidRPr="008A21C8">
        <w:rPr>
          <w:rFonts w:ascii="Arial" w:hAnsi="Arial" w:cs="Arial"/>
        </w:rPr>
        <w:t>Advice must be sought from the Schools’ HR Advisor.</w:t>
      </w:r>
    </w:p>
    <w:p w14:paraId="68C24BB3" w14:textId="77777777" w:rsidR="00034682" w:rsidRPr="008A21C8" w:rsidRDefault="00034682" w:rsidP="003859EC">
      <w:pPr>
        <w:widowControl w:val="0"/>
        <w:ind w:left="34" w:hanging="34"/>
        <w:rPr>
          <w:rFonts w:ascii="Arial" w:hAnsi="Arial" w:cs="Arial"/>
        </w:rPr>
      </w:pPr>
    </w:p>
    <w:p w14:paraId="0C9B9F09" w14:textId="514CC0A7" w:rsidR="00034682" w:rsidRPr="008A21C8" w:rsidRDefault="00255809" w:rsidP="00D5516F">
      <w:pPr>
        <w:pStyle w:val="Heading2"/>
      </w:pPr>
      <w:r w:rsidRPr="008A21C8">
        <w:t>1</w:t>
      </w:r>
      <w:r w:rsidR="00D5516F" w:rsidRPr="008A21C8">
        <w:t>5</w:t>
      </w:r>
      <w:r w:rsidRPr="008A21C8">
        <w:t xml:space="preserve">. </w:t>
      </w:r>
      <w:r w:rsidR="00034682" w:rsidRPr="008A21C8">
        <w:t>Referral to relevant bodies</w:t>
      </w:r>
    </w:p>
    <w:p w14:paraId="7D2CA6F5" w14:textId="77777777" w:rsidR="00034682" w:rsidRPr="008A21C8" w:rsidRDefault="00034682" w:rsidP="00034682">
      <w:pPr>
        <w:widowControl w:val="0"/>
        <w:ind w:left="34" w:hanging="34"/>
        <w:rPr>
          <w:rFonts w:ascii="Arial" w:hAnsi="Arial" w:cs="Arial"/>
          <w:color w:val="000000"/>
          <w:lang w:val="en-US"/>
        </w:rPr>
      </w:pPr>
      <w:r w:rsidRPr="008A21C8">
        <w:rPr>
          <w:rFonts w:ascii="Arial" w:hAnsi="Arial" w:cs="Arial"/>
          <w:color w:val="000000"/>
          <w:lang w:val="en-US"/>
        </w:rPr>
        <w:t>In the following circumstances it may be necessary to make a referral to the relevant body:</w:t>
      </w:r>
    </w:p>
    <w:p w14:paraId="350DF9AB" w14:textId="77777777" w:rsidR="00034682" w:rsidRPr="008A21C8" w:rsidRDefault="00034682" w:rsidP="00034682">
      <w:pPr>
        <w:widowControl w:val="0"/>
        <w:numPr>
          <w:ilvl w:val="0"/>
          <w:numId w:val="35"/>
        </w:numPr>
        <w:spacing w:after="0" w:line="240" w:lineRule="auto"/>
        <w:rPr>
          <w:rFonts w:ascii="Arial" w:hAnsi="Arial" w:cs="Arial"/>
          <w:color w:val="000000"/>
          <w:lang w:val="en-US"/>
        </w:rPr>
      </w:pPr>
      <w:r w:rsidRPr="008A21C8">
        <w:rPr>
          <w:rFonts w:ascii="Arial" w:hAnsi="Arial" w:cs="Arial"/>
          <w:color w:val="000000"/>
          <w:lang w:val="en-US"/>
        </w:rPr>
        <w:t>if a dismissal takes place</w:t>
      </w:r>
    </w:p>
    <w:p w14:paraId="742FE7EA" w14:textId="066F8E45" w:rsidR="00034682" w:rsidRPr="008A21C8" w:rsidRDefault="00034682" w:rsidP="00034682">
      <w:pPr>
        <w:widowControl w:val="0"/>
        <w:numPr>
          <w:ilvl w:val="0"/>
          <w:numId w:val="35"/>
        </w:numPr>
        <w:spacing w:after="0" w:line="240" w:lineRule="auto"/>
        <w:rPr>
          <w:rFonts w:ascii="Arial" w:hAnsi="Arial" w:cs="Arial"/>
          <w:color w:val="000000"/>
          <w:lang w:val="en-US"/>
        </w:rPr>
      </w:pPr>
      <w:r w:rsidRPr="008A21C8">
        <w:rPr>
          <w:rFonts w:ascii="Arial" w:hAnsi="Arial" w:cs="Arial"/>
          <w:color w:val="000000"/>
          <w:lang w:val="en-US"/>
        </w:rPr>
        <w:t>in circumstances where a f process regarding a capability concern has not concluded and the potential outcome may have resulted in dismissal.</w:t>
      </w:r>
    </w:p>
    <w:p w14:paraId="00B18F2A" w14:textId="77777777" w:rsidR="00034682" w:rsidRPr="008A21C8" w:rsidRDefault="00034682" w:rsidP="003B47BF">
      <w:pPr>
        <w:widowControl w:val="0"/>
        <w:spacing w:after="0" w:line="240" w:lineRule="auto"/>
        <w:rPr>
          <w:rFonts w:ascii="Arial" w:hAnsi="Arial" w:cs="Arial"/>
          <w:color w:val="000000"/>
          <w:lang w:val="en-US"/>
        </w:rPr>
      </w:pPr>
    </w:p>
    <w:p w14:paraId="0C91E84E" w14:textId="77777777" w:rsidR="00034682" w:rsidRPr="008A21C8" w:rsidRDefault="00034682" w:rsidP="00034682">
      <w:pPr>
        <w:tabs>
          <w:tab w:val="left" w:pos="426"/>
        </w:tabs>
        <w:ind w:left="34" w:hanging="34"/>
        <w:rPr>
          <w:rFonts w:ascii="Arial" w:hAnsi="Arial" w:cs="Arial"/>
          <w:lang w:val="en-US"/>
        </w:rPr>
      </w:pPr>
      <w:r w:rsidRPr="008A21C8">
        <w:rPr>
          <w:rFonts w:ascii="Arial" w:hAnsi="Arial" w:cs="Arial"/>
          <w:lang w:val="en-US"/>
        </w:rPr>
        <w:t>Where there is a requirement to make a referral to a relevant body, the employee must be notified in writing that a referral has taken place.</w:t>
      </w:r>
    </w:p>
    <w:p w14:paraId="4A67662E" w14:textId="49BC6703" w:rsidR="003859EC" w:rsidRPr="008A21C8" w:rsidRDefault="00034682" w:rsidP="003859EC">
      <w:pPr>
        <w:pStyle w:val="NormalWeb"/>
        <w:spacing w:before="100" w:beforeAutospacing="1" w:after="0" w:line="240" w:lineRule="auto"/>
        <w:rPr>
          <w:rFonts w:ascii="Arial" w:hAnsi="Arial" w:cs="Arial"/>
        </w:rPr>
      </w:pPr>
      <w:r w:rsidRPr="008A21C8">
        <w:rPr>
          <w:rFonts w:ascii="Arial" w:hAnsi="Arial" w:cs="Arial"/>
        </w:rPr>
        <w:t>A</w:t>
      </w:r>
      <w:r w:rsidR="003859EC" w:rsidRPr="008A21C8">
        <w:rPr>
          <w:rFonts w:ascii="Arial" w:hAnsi="Arial" w:cs="Arial"/>
        </w:rPr>
        <w:t>dvice must be sought from the Schools</w:t>
      </w:r>
      <w:r w:rsidRPr="008A21C8">
        <w:rPr>
          <w:rFonts w:ascii="Arial" w:hAnsi="Arial" w:cs="Arial"/>
        </w:rPr>
        <w:t>’</w:t>
      </w:r>
      <w:r w:rsidR="003859EC" w:rsidRPr="008A21C8">
        <w:rPr>
          <w:rFonts w:ascii="Arial" w:hAnsi="Arial" w:cs="Arial"/>
        </w:rPr>
        <w:t xml:space="preserve"> HR Advisor.</w:t>
      </w:r>
    </w:p>
    <w:p w14:paraId="32087295" w14:textId="06D94835" w:rsidR="00034682" w:rsidRPr="008A21C8" w:rsidRDefault="00034682" w:rsidP="003859EC">
      <w:pPr>
        <w:pStyle w:val="NormalWeb"/>
        <w:spacing w:before="100" w:beforeAutospacing="1" w:after="0" w:line="240" w:lineRule="auto"/>
        <w:rPr>
          <w:rFonts w:ascii="Arial" w:hAnsi="Arial" w:cs="Arial"/>
          <w:b/>
          <w:sz w:val="28"/>
          <w:szCs w:val="28"/>
        </w:rPr>
      </w:pPr>
      <w:r w:rsidRPr="008A21C8">
        <w:rPr>
          <w:rFonts w:ascii="Arial" w:hAnsi="Arial" w:cs="Arial"/>
          <w:b/>
          <w:sz w:val="28"/>
          <w:szCs w:val="28"/>
        </w:rPr>
        <w:t>Representation from the Local Authority</w:t>
      </w:r>
    </w:p>
    <w:p w14:paraId="19CAD9E1" w14:textId="6AE9ADEC" w:rsidR="00034682" w:rsidRPr="008A21C8" w:rsidRDefault="00034682" w:rsidP="003B47BF">
      <w:pPr>
        <w:pStyle w:val="NormalWeb"/>
        <w:spacing w:before="100" w:beforeAutospacing="1" w:after="0" w:line="240" w:lineRule="auto"/>
        <w:rPr>
          <w:rFonts w:ascii="Arial" w:hAnsi="Arial" w:cs="Arial"/>
          <w:bCs/>
        </w:rPr>
      </w:pPr>
      <w:r w:rsidRPr="008A21C8">
        <w:rPr>
          <w:rFonts w:ascii="Arial" w:hAnsi="Arial" w:cs="Arial"/>
          <w:bCs/>
        </w:rPr>
        <w:t>A representative of the Local Authority has a right to attend the dismissal stage of this procedure</w:t>
      </w:r>
      <w:r w:rsidR="009433F5" w:rsidRPr="008A21C8">
        <w:rPr>
          <w:rFonts w:ascii="Arial" w:hAnsi="Arial" w:cs="Arial"/>
          <w:bCs/>
        </w:rPr>
        <w:t xml:space="preserve"> in maintained schools</w:t>
      </w:r>
      <w:r w:rsidR="001F4EAF" w:rsidRPr="008A21C8">
        <w:rPr>
          <w:rFonts w:ascii="Arial" w:hAnsi="Arial" w:cs="Arial"/>
          <w:bCs/>
        </w:rPr>
        <w:t>, to give advice to the panel</w:t>
      </w:r>
      <w:r w:rsidRPr="008A21C8">
        <w:rPr>
          <w:rFonts w:ascii="Arial" w:hAnsi="Arial" w:cs="Arial"/>
          <w:bCs/>
        </w:rPr>
        <w:t>.</w:t>
      </w:r>
    </w:p>
    <w:p w14:paraId="50F66E4E" w14:textId="77777777" w:rsidR="00D5516F" w:rsidRPr="008A21C8" w:rsidRDefault="00D5516F" w:rsidP="003B47BF">
      <w:pPr>
        <w:pStyle w:val="NormalWeb"/>
        <w:spacing w:before="100" w:beforeAutospacing="1" w:after="0" w:line="240" w:lineRule="auto"/>
        <w:rPr>
          <w:rFonts w:ascii="Arial" w:hAnsi="Arial" w:cs="Arial"/>
          <w:bCs/>
        </w:rPr>
      </w:pPr>
    </w:p>
    <w:p w14:paraId="0B556740" w14:textId="77777777" w:rsidR="00712D0A" w:rsidRPr="00D5516F" w:rsidRDefault="00712D0A" w:rsidP="00712D0A">
      <w:pPr>
        <w:pStyle w:val="NormalWeb"/>
        <w:spacing w:after="0"/>
        <w:rPr>
          <w:rFonts w:ascii="Arial" w:hAnsi="Arial" w:cs="Arial"/>
        </w:rPr>
      </w:pPr>
    </w:p>
    <w:tbl>
      <w:tblPr>
        <w:tblStyle w:val="TableGrid"/>
        <w:tblW w:w="9493" w:type="dxa"/>
        <w:tblLook w:val="04A0" w:firstRow="1" w:lastRow="0" w:firstColumn="1" w:lastColumn="0" w:noHBand="0" w:noVBand="1"/>
      </w:tblPr>
      <w:tblGrid>
        <w:gridCol w:w="9493"/>
      </w:tblGrid>
      <w:tr w:rsidR="006F052C" w:rsidRPr="0049738A" w14:paraId="1793ECCA" w14:textId="77777777" w:rsidTr="00607F70">
        <w:tc>
          <w:tcPr>
            <w:tcW w:w="9493" w:type="dxa"/>
          </w:tcPr>
          <w:p w14:paraId="449808BC" w14:textId="77777777" w:rsidR="006F052C" w:rsidRPr="0049738A" w:rsidRDefault="006F052C" w:rsidP="00607F70">
            <w:pPr>
              <w:jc w:val="both"/>
              <w:rPr>
                <w:rFonts w:ascii="Arial" w:hAnsi="Arial" w:cs="Arial"/>
                <w:b/>
                <w:bCs/>
                <w:sz w:val="28"/>
                <w:szCs w:val="28"/>
              </w:rPr>
            </w:pPr>
            <w:r w:rsidRPr="0049738A">
              <w:rPr>
                <w:rFonts w:ascii="Arial" w:hAnsi="Arial" w:cs="Arial"/>
                <w:b/>
                <w:bCs/>
                <w:color w:val="000000" w:themeColor="text1"/>
                <w:sz w:val="28"/>
                <w:szCs w:val="28"/>
                <w:highlight w:val="lightGray"/>
              </w:rPr>
              <w:t>VARIATION</w:t>
            </w:r>
            <w:r w:rsidRPr="0049738A">
              <w:rPr>
                <w:rFonts w:ascii="Arial" w:hAnsi="Arial" w:cs="Arial"/>
                <w:b/>
                <w:bCs/>
                <w:sz w:val="28"/>
                <w:szCs w:val="28"/>
                <w:highlight w:val="lightGray"/>
              </w:rPr>
              <w:t xml:space="preserve"> OF PROCEDURES</w:t>
            </w:r>
          </w:p>
        </w:tc>
      </w:tr>
      <w:tr w:rsidR="006F052C" w:rsidRPr="0049738A" w14:paraId="29F3EB53" w14:textId="77777777" w:rsidTr="00607F70">
        <w:tc>
          <w:tcPr>
            <w:tcW w:w="9493" w:type="dxa"/>
          </w:tcPr>
          <w:p w14:paraId="20EFC8B7" w14:textId="77777777" w:rsidR="006F052C" w:rsidRPr="0049738A" w:rsidRDefault="006F052C" w:rsidP="00607F70">
            <w:pPr>
              <w:jc w:val="both"/>
              <w:rPr>
                <w:rFonts w:ascii="Arial" w:hAnsi="Arial" w:cs="Arial"/>
                <w:b/>
                <w:bCs/>
                <w:sz w:val="20"/>
                <w:szCs w:val="20"/>
              </w:rPr>
            </w:pPr>
          </w:p>
        </w:tc>
      </w:tr>
      <w:tr w:rsidR="006F052C" w:rsidRPr="0049738A" w14:paraId="1F7B36E3" w14:textId="77777777" w:rsidTr="00607F70">
        <w:tc>
          <w:tcPr>
            <w:tcW w:w="9493" w:type="dxa"/>
          </w:tcPr>
          <w:p w14:paraId="0D9796A3" w14:textId="77777777" w:rsidR="006F052C" w:rsidRPr="0049738A" w:rsidRDefault="006F052C" w:rsidP="00607F70">
            <w:pPr>
              <w:pStyle w:val="NoSpacing"/>
              <w:rPr>
                <w:rFonts w:ascii="Arial" w:hAnsi="Arial" w:cs="Arial"/>
              </w:rPr>
            </w:pPr>
            <w:r w:rsidRPr="0049738A">
              <w:rPr>
                <w:rFonts w:ascii="Arial" w:hAnsi="Arial" w:cs="Arial"/>
              </w:rPr>
              <w:t xml:space="preserve">This procedure is not contractual, and it may be varied by the Council from time to time.  Examples of variation include the need to comply with new legislation or best practice guidance. Should the Council decide not to apply the procedure, either in its entirety or in part, that will not amount to a breach of contract.  </w:t>
            </w:r>
          </w:p>
          <w:p w14:paraId="0B7AA9A2" w14:textId="77777777" w:rsidR="006F052C" w:rsidRPr="0049738A" w:rsidRDefault="006F052C" w:rsidP="00607F70">
            <w:pPr>
              <w:pStyle w:val="NoSpacing"/>
              <w:rPr>
                <w:rFonts w:ascii="Arial" w:hAnsi="Arial" w:cs="Arial"/>
              </w:rPr>
            </w:pPr>
            <w:r w:rsidRPr="0049738A">
              <w:rPr>
                <w:rFonts w:ascii="Arial" w:hAnsi="Arial" w:cs="Arial"/>
              </w:rPr>
              <w:t>Changes to the procedure will be made in line with the relevant consultation process and through raising employee awareness.</w:t>
            </w:r>
          </w:p>
          <w:p w14:paraId="7BCA6B16" w14:textId="77777777" w:rsidR="006F052C" w:rsidRPr="0049738A" w:rsidRDefault="006F052C" w:rsidP="00607F70">
            <w:pPr>
              <w:jc w:val="both"/>
              <w:rPr>
                <w:rFonts w:ascii="Arial" w:hAnsi="Arial" w:cs="Arial"/>
                <w:sz w:val="20"/>
                <w:szCs w:val="20"/>
              </w:rPr>
            </w:pPr>
          </w:p>
        </w:tc>
      </w:tr>
      <w:tr w:rsidR="006F052C" w:rsidRPr="0049738A" w14:paraId="63A6C7F2" w14:textId="77777777" w:rsidTr="00607F70">
        <w:tc>
          <w:tcPr>
            <w:tcW w:w="9493" w:type="dxa"/>
          </w:tcPr>
          <w:p w14:paraId="54F55ABC" w14:textId="77777777" w:rsidR="006F052C" w:rsidRPr="0049738A" w:rsidRDefault="006F052C" w:rsidP="00607F70">
            <w:pPr>
              <w:jc w:val="both"/>
              <w:rPr>
                <w:rFonts w:ascii="Arial" w:hAnsi="Arial" w:cs="Arial"/>
                <w:b/>
                <w:bCs/>
                <w:sz w:val="28"/>
                <w:szCs w:val="28"/>
              </w:rPr>
            </w:pPr>
            <w:r w:rsidRPr="0049738A">
              <w:rPr>
                <w:rFonts w:ascii="Arial" w:hAnsi="Arial" w:cs="Arial"/>
                <w:b/>
                <w:bCs/>
                <w:sz w:val="28"/>
                <w:szCs w:val="28"/>
                <w:highlight w:val="lightGray"/>
              </w:rPr>
              <w:t>VERSION CONTROL</w:t>
            </w:r>
          </w:p>
        </w:tc>
      </w:tr>
      <w:tr w:rsidR="006F052C" w:rsidRPr="0049738A" w14:paraId="1ED33E49" w14:textId="77777777" w:rsidTr="00607F70">
        <w:tc>
          <w:tcPr>
            <w:tcW w:w="9493" w:type="dxa"/>
          </w:tcPr>
          <w:p w14:paraId="10516D1A" w14:textId="2EB0C14F" w:rsidR="006F052C" w:rsidRPr="0049738A" w:rsidRDefault="006F052C" w:rsidP="00607F70">
            <w:pPr>
              <w:rPr>
                <w:rFonts w:ascii="Arial" w:hAnsi="Arial" w:cs="Arial"/>
              </w:rPr>
            </w:pPr>
            <w:r w:rsidRPr="0049738A">
              <w:rPr>
                <w:rFonts w:ascii="Arial" w:hAnsi="Arial" w:cs="Arial"/>
              </w:rPr>
              <w:t>Date approved and published:    September 2022 (Version 1.0)</w:t>
            </w:r>
          </w:p>
        </w:tc>
      </w:tr>
      <w:tr w:rsidR="006F052C" w:rsidRPr="0049738A" w14:paraId="63F83B21" w14:textId="77777777" w:rsidTr="00607F70">
        <w:tc>
          <w:tcPr>
            <w:tcW w:w="9493" w:type="dxa"/>
          </w:tcPr>
          <w:p w14:paraId="29094712" w14:textId="43098E0B" w:rsidR="006F052C" w:rsidRPr="0049738A" w:rsidRDefault="006F052C" w:rsidP="00607F70">
            <w:pPr>
              <w:rPr>
                <w:rFonts w:ascii="Arial" w:hAnsi="Arial" w:cs="Arial"/>
              </w:rPr>
            </w:pPr>
            <w:r w:rsidRPr="0049738A">
              <w:rPr>
                <w:rFonts w:ascii="Arial" w:hAnsi="Arial" w:cs="Arial"/>
              </w:rPr>
              <w:t>Date to review policy:</w:t>
            </w:r>
            <w:r w:rsidRPr="0049738A">
              <w:rPr>
                <w:rFonts w:ascii="Arial" w:hAnsi="Arial" w:cs="Arial"/>
              </w:rPr>
              <w:tab/>
              <w:t xml:space="preserve">         September 2025 (unless subject to legislative change)</w:t>
            </w:r>
          </w:p>
        </w:tc>
      </w:tr>
    </w:tbl>
    <w:p w14:paraId="2564FDEF" w14:textId="08674EDE" w:rsidR="00712D0A" w:rsidRPr="0049738A" w:rsidRDefault="00712D0A" w:rsidP="00712D0A">
      <w:pPr>
        <w:rPr>
          <w:rFonts w:ascii="Arial" w:hAnsi="Arial" w:cs="Arial"/>
        </w:rPr>
      </w:pPr>
    </w:p>
    <w:p w14:paraId="2E6E8C2C" w14:textId="77777777" w:rsidR="00712D0A" w:rsidRPr="0049738A" w:rsidRDefault="00712D0A" w:rsidP="00D5516F">
      <w:pPr>
        <w:pStyle w:val="Heading2"/>
      </w:pPr>
      <w:r w:rsidRPr="0049738A">
        <w:t>Other relevant policies and procedures</w:t>
      </w:r>
    </w:p>
    <w:p w14:paraId="1CC9FF98" w14:textId="77777777" w:rsidR="008A21C8" w:rsidRDefault="00EE4F02" w:rsidP="00712D0A">
      <w:pPr>
        <w:rPr>
          <w:rFonts w:ascii="Arial" w:hAnsi="Arial" w:cs="Arial"/>
        </w:rPr>
      </w:pPr>
      <w:hyperlink r:id="rId8" w:history="1">
        <w:r w:rsidR="00712D0A" w:rsidRPr="0049738A">
          <w:rPr>
            <w:rStyle w:val="Hyperlink"/>
            <w:rFonts w:ascii="Arial" w:hAnsi="Arial" w:cs="Arial"/>
          </w:rPr>
          <w:t>Appraisal Policy for Teachers and Headteachers</w:t>
        </w:r>
      </w:hyperlink>
      <w:r w:rsidR="00712D0A" w:rsidRPr="0049738A">
        <w:rPr>
          <w:rFonts w:ascii="Arial" w:hAnsi="Arial" w:cs="Arial"/>
        </w:rPr>
        <w:t xml:space="preserve"> </w:t>
      </w:r>
    </w:p>
    <w:p w14:paraId="0D1DDFD2" w14:textId="197E492D" w:rsidR="005A1244" w:rsidRPr="0049738A" w:rsidRDefault="00EE4F02" w:rsidP="00712D0A">
      <w:pPr>
        <w:rPr>
          <w:rFonts w:ascii="Arial" w:hAnsi="Arial" w:cs="Arial"/>
        </w:rPr>
      </w:pPr>
      <w:hyperlink r:id="rId9" w:history="1">
        <w:r w:rsidR="009433F5" w:rsidRPr="008A21C8">
          <w:rPr>
            <w:rStyle w:val="Hyperlink"/>
            <w:rFonts w:ascii="Arial" w:hAnsi="Arial" w:cs="Arial"/>
          </w:rPr>
          <w:t>Teacher Standards</w:t>
        </w:r>
      </w:hyperlink>
    </w:p>
    <w:p w14:paraId="4BE43AF1" w14:textId="5E67775C" w:rsidR="005A1244" w:rsidRPr="0049738A" w:rsidRDefault="00EE4F02" w:rsidP="00712D0A">
      <w:pPr>
        <w:rPr>
          <w:rFonts w:ascii="Arial" w:hAnsi="Arial" w:cs="Arial"/>
        </w:rPr>
      </w:pPr>
      <w:hyperlink r:id="rId10" w:history="1">
        <w:r w:rsidR="00C07C8A" w:rsidRPr="008A21C8">
          <w:rPr>
            <w:rStyle w:val="Hyperlink"/>
            <w:rFonts w:ascii="Arial" w:hAnsi="Arial" w:cs="Arial"/>
          </w:rPr>
          <w:t>Appraisal Policy for Support Staff</w:t>
        </w:r>
      </w:hyperlink>
    </w:p>
    <w:p w14:paraId="4DC55EBE" w14:textId="08335FA5" w:rsidR="00712D0A" w:rsidRDefault="00EE4F02" w:rsidP="00712D0A">
      <w:pPr>
        <w:rPr>
          <w:rStyle w:val="Hyperlink"/>
          <w:rFonts w:ascii="Arial" w:hAnsi="Arial" w:cs="Arial"/>
        </w:rPr>
      </w:pPr>
      <w:hyperlink r:id="rId11" w:history="1">
        <w:r w:rsidR="005A1244" w:rsidRPr="008A21C8">
          <w:rPr>
            <w:rStyle w:val="Hyperlink"/>
            <w:rFonts w:ascii="Arial" w:hAnsi="Arial" w:cs="Arial"/>
          </w:rPr>
          <w:t>School Disciplinary Procedure</w:t>
        </w:r>
      </w:hyperlink>
    </w:p>
    <w:p w14:paraId="35E8ED1F" w14:textId="2E477854" w:rsidR="00CA3683" w:rsidRDefault="00EE4F02" w:rsidP="00CA3683">
      <w:pPr>
        <w:rPr>
          <w:rStyle w:val="Hyperlink"/>
          <w:rFonts w:ascii="Arial" w:hAnsi="Arial" w:cs="Arial"/>
        </w:rPr>
      </w:pPr>
      <w:hyperlink r:id="rId12" w:history="1">
        <w:r w:rsidR="00CA3683" w:rsidRPr="00CA3683">
          <w:rPr>
            <w:rStyle w:val="Hyperlink"/>
            <w:rFonts w:ascii="Arial" w:hAnsi="Arial" w:cs="Arial"/>
          </w:rPr>
          <w:t>Keeping children safe in education 2022</w:t>
        </w:r>
      </w:hyperlink>
    </w:p>
    <w:p w14:paraId="6EDF5100" w14:textId="77777777" w:rsidR="00CA3683" w:rsidRPr="0049738A" w:rsidRDefault="00CA3683" w:rsidP="00712D0A">
      <w:pPr>
        <w:rPr>
          <w:rFonts w:ascii="Arial" w:hAnsi="Arial" w:cs="Arial"/>
          <w:b/>
          <w:i/>
          <w:color w:val="FF0000"/>
        </w:rPr>
      </w:pPr>
    </w:p>
    <w:p w14:paraId="27D08467" w14:textId="77777777" w:rsidR="00712D0A" w:rsidRPr="0049738A" w:rsidRDefault="00712D0A" w:rsidP="00D5516F">
      <w:pPr>
        <w:pStyle w:val="Heading2"/>
      </w:pPr>
      <w:r w:rsidRPr="0049738A">
        <w:rPr>
          <w:color w:val="FF0000"/>
        </w:rPr>
        <w:br w:type="page"/>
      </w:r>
      <w:r w:rsidRPr="0049738A">
        <w:lastRenderedPageBreak/>
        <w:t>Frequently Asked Questions</w:t>
      </w:r>
    </w:p>
    <w:p w14:paraId="0574340B" w14:textId="5E782321" w:rsidR="00712D0A" w:rsidRPr="00D5516F" w:rsidRDefault="00712D0A" w:rsidP="00712D0A">
      <w:pPr>
        <w:numPr>
          <w:ilvl w:val="12"/>
          <w:numId w:val="0"/>
        </w:numPr>
        <w:rPr>
          <w:rFonts w:ascii="Arial" w:hAnsi="Arial" w:cs="Arial"/>
          <w:b/>
        </w:rPr>
      </w:pPr>
      <w:r w:rsidRPr="00D5516F">
        <w:rPr>
          <w:rFonts w:ascii="Arial" w:hAnsi="Arial" w:cs="Arial"/>
          <w:b/>
        </w:rPr>
        <w:t>What happens if an employee raises a grievance during the capability procedure?</w:t>
      </w:r>
    </w:p>
    <w:p w14:paraId="26F04A6B" w14:textId="6A611163" w:rsidR="006A773A" w:rsidRDefault="006A773A" w:rsidP="00712D0A">
      <w:pPr>
        <w:numPr>
          <w:ilvl w:val="12"/>
          <w:numId w:val="0"/>
        </w:numPr>
        <w:rPr>
          <w:rFonts w:ascii="Arial" w:hAnsi="Arial" w:cs="Arial"/>
        </w:rPr>
      </w:pPr>
      <w:r w:rsidRPr="008A21C8">
        <w:rPr>
          <w:rFonts w:ascii="Arial" w:hAnsi="Arial" w:cs="Arial"/>
        </w:rPr>
        <w:t>The employee will not normally be permitted to raise a grievance related to any action taken, or contemplated, under this procedure. Such grievances will normally be managed within the hearing and appeal process.</w:t>
      </w:r>
    </w:p>
    <w:p w14:paraId="7A033AAA" w14:textId="71469646" w:rsidR="00614DC0" w:rsidRPr="00614DC0" w:rsidRDefault="00614DC0" w:rsidP="00712D0A">
      <w:pPr>
        <w:numPr>
          <w:ilvl w:val="12"/>
          <w:numId w:val="0"/>
        </w:numPr>
        <w:rPr>
          <w:rFonts w:ascii="Arial" w:hAnsi="Arial" w:cs="Arial"/>
        </w:rPr>
      </w:pPr>
    </w:p>
    <w:p w14:paraId="71BB7F24" w14:textId="77777777" w:rsidR="00712D0A" w:rsidRPr="00D5516F" w:rsidRDefault="00712D0A" w:rsidP="00712D0A">
      <w:pPr>
        <w:rPr>
          <w:rFonts w:ascii="Arial" w:hAnsi="Arial" w:cs="Arial"/>
          <w:b/>
        </w:rPr>
      </w:pPr>
      <w:r w:rsidRPr="00D5516F">
        <w:rPr>
          <w:rFonts w:ascii="Arial" w:hAnsi="Arial" w:cs="Arial"/>
          <w:b/>
        </w:rPr>
        <w:t xml:space="preserve">What happens if an employee is absent for an extended period during the capability procedure? </w:t>
      </w:r>
    </w:p>
    <w:p w14:paraId="410974F3" w14:textId="3E7BE460" w:rsidR="00712D0A" w:rsidRPr="008A21C8" w:rsidRDefault="00712D0A" w:rsidP="00712D0A">
      <w:pPr>
        <w:numPr>
          <w:ilvl w:val="12"/>
          <w:numId w:val="0"/>
        </w:numPr>
        <w:rPr>
          <w:rFonts w:ascii="Arial" w:hAnsi="Arial" w:cs="Arial"/>
        </w:rPr>
      </w:pPr>
      <w:r w:rsidRPr="00D5516F">
        <w:rPr>
          <w:rFonts w:ascii="Arial" w:hAnsi="Arial" w:cs="Arial"/>
        </w:rPr>
        <w:t xml:space="preserve">If long term sickness absence appears to have been triggered by the commencement of monitoring or a formal capability procedure, the case will be dealt with in accordance with the school’s absence policy and will normally be referred immediately to the Occupational Health Service to assess the member of staff’s health and fitness for continued employment and the appropriateness or otherwise of continuing with monitoring or formal procedures. </w:t>
      </w:r>
      <w:r w:rsidR="009268C1" w:rsidRPr="008A21C8">
        <w:rPr>
          <w:rFonts w:ascii="Arial" w:hAnsi="Arial" w:cs="Arial"/>
        </w:rPr>
        <w:t>If the employee is not well enough to attend the meeting/ hearing, it may be deferred until they are able to attend. A meeting/ hearing will not be deferred indefinitely because the employee is unable to attend.</w:t>
      </w:r>
    </w:p>
    <w:p w14:paraId="22D86545" w14:textId="77777777" w:rsidR="00712D0A" w:rsidRPr="00D5516F" w:rsidRDefault="00712D0A" w:rsidP="00712D0A">
      <w:pPr>
        <w:numPr>
          <w:ilvl w:val="12"/>
          <w:numId w:val="0"/>
        </w:numPr>
        <w:rPr>
          <w:rFonts w:ascii="Arial" w:hAnsi="Arial" w:cs="Arial"/>
        </w:rPr>
      </w:pPr>
      <w:r w:rsidRPr="008A21C8">
        <w:rPr>
          <w:rFonts w:ascii="Arial" w:hAnsi="Arial" w:cs="Arial"/>
        </w:rPr>
        <w:t>Monitoring and assessment under the procedure needs to be based on evidence of performance at work. However, in some cases it may be appropriate for formal procedures to continue during a period of sickness absence for example, if the procedure has reached a stage where the absence of the employee would not significantly affect the outcome.</w:t>
      </w:r>
      <w:r w:rsidRPr="00D5516F">
        <w:rPr>
          <w:rFonts w:ascii="Arial" w:hAnsi="Arial" w:cs="Arial"/>
        </w:rPr>
        <w:t xml:space="preserve"> </w:t>
      </w:r>
    </w:p>
    <w:sectPr w:rsidR="00712D0A" w:rsidRPr="00D5516F" w:rsidSect="007E7DBB">
      <w:footerReference w:type="default" r:id="rId13"/>
      <w:headerReference w:type="first" r:id="rId14"/>
      <w:footerReference w:type="first" r:id="rId15"/>
      <w:pgSz w:w="11906" w:h="16838"/>
      <w:pgMar w:top="1440" w:right="1440" w:bottom="1440" w:left="1440" w:header="2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5754A" w14:textId="77777777" w:rsidR="00BA0D91" w:rsidRPr="007E7DBB" w:rsidRDefault="00BA0D91" w:rsidP="007E7DBB">
      <w:r>
        <w:separator/>
      </w:r>
    </w:p>
  </w:endnote>
  <w:endnote w:type="continuationSeparator" w:id="0">
    <w:p w14:paraId="743CE25E" w14:textId="77777777" w:rsidR="00BA0D91" w:rsidRPr="007E7DBB" w:rsidRDefault="00BA0D91" w:rsidP="007E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278863"/>
      <w:docPartObj>
        <w:docPartGallery w:val="Page Numbers (Bottom of Page)"/>
        <w:docPartUnique/>
      </w:docPartObj>
    </w:sdtPr>
    <w:sdtEndPr>
      <w:rPr>
        <w:noProof/>
      </w:rPr>
    </w:sdtEndPr>
    <w:sdtContent>
      <w:p w14:paraId="260DB640" w14:textId="0C5C6DDD" w:rsidR="00607F70" w:rsidRDefault="00607F70">
        <w:pPr>
          <w:pStyle w:val="Footer"/>
        </w:pPr>
        <w:r>
          <w:fldChar w:fldCharType="begin"/>
        </w:r>
        <w:r>
          <w:instrText xml:space="preserve"> PAGE   \* MERGEFORMAT </w:instrText>
        </w:r>
        <w:r>
          <w:fldChar w:fldCharType="separate"/>
        </w:r>
        <w:r>
          <w:rPr>
            <w:noProof/>
          </w:rPr>
          <w:t>2</w:t>
        </w:r>
        <w:r>
          <w:rPr>
            <w:noProof/>
          </w:rPr>
          <w:fldChar w:fldCharType="end"/>
        </w:r>
      </w:p>
    </w:sdtContent>
  </w:sdt>
  <w:p w14:paraId="1AC4A143" w14:textId="44C71F6F" w:rsidR="00607F70" w:rsidRDefault="00607F70" w:rsidP="00EC5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264575"/>
      <w:docPartObj>
        <w:docPartGallery w:val="Page Numbers (Bottom of Page)"/>
        <w:docPartUnique/>
      </w:docPartObj>
    </w:sdtPr>
    <w:sdtEndPr>
      <w:rPr>
        <w:noProof/>
      </w:rPr>
    </w:sdtEndPr>
    <w:sdtContent>
      <w:p w14:paraId="7846713B" w14:textId="6EC89DD3" w:rsidR="00607F70" w:rsidRDefault="00607F70">
        <w:pPr>
          <w:pStyle w:val="Footer"/>
        </w:pPr>
        <w:r>
          <w:fldChar w:fldCharType="begin"/>
        </w:r>
        <w:r>
          <w:instrText xml:space="preserve"> PAGE   \* MERGEFORMAT </w:instrText>
        </w:r>
        <w:r>
          <w:fldChar w:fldCharType="separate"/>
        </w:r>
        <w:r>
          <w:rPr>
            <w:noProof/>
          </w:rPr>
          <w:t>2</w:t>
        </w:r>
        <w:r>
          <w:rPr>
            <w:noProof/>
          </w:rPr>
          <w:fldChar w:fldCharType="end"/>
        </w:r>
      </w:p>
    </w:sdtContent>
  </w:sdt>
  <w:p w14:paraId="0704462F" w14:textId="77777777" w:rsidR="00607F70" w:rsidRDefault="00607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D2166" w14:textId="77777777" w:rsidR="00BA0D91" w:rsidRPr="007E7DBB" w:rsidRDefault="00BA0D91" w:rsidP="007E7DBB">
      <w:r>
        <w:separator/>
      </w:r>
    </w:p>
  </w:footnote>
  <w:footnote w:type="continuationSeparator" w:id="0">
    <w:p w14:paraId="4AFBEEA8" w14:textId="77777777" w:rsidR="00BA0D91" w:rsidRPr="007E7DBB" w:rsidRDefault="00BA0D91" w:rsidP="007E7DBB">
      <w:r>
        <w:continuationSeparator/>
      </w:r>
    </w:p>
  </w:footnote>
  <w:footnote w:id="1">
    <w:p w14:paraId="3D7614D3" w14:textId="7B9503E5" w:rsidR="00607F70" w:rsidRPr="00D815B8" w:rsidRDefault="00607F70" w:rsidP="00712D0A">
      <w:pPr>
        <w:pStyle w:val="FootnoteText"/>
      </w:pPr>
      <w:r w:rsidRPr="00D815B8">
        <w:rPr>
          <w:rStyle w:val="FootnoteReference"/>
        </w:rPr>
        <w:footnoteRef/>
      </w:r>
      <w:r w:rsidRPr="00D815B8">
        <w:t xml:space="preserve"> </w:t>
      </w:r>
      <w:r w:rsidRPr="00E51C68">
        <w:rPr>
          <w:rFonts w:cs="Arial"/>
        </w:rPr>
        <w:t xml:space="preserve">It is for the person conducting the meeting to determine the set period which should be between </w:t>
      </w:r>
      <w:r w:rsidR="00537E44">
        <w:rPr>
          <w:rFonts w:cs="Arial"/>
        </w:rPr>
        <w:t>six</w:t>
      </w:r>
      <w:r w:rsidRPr="00E51C68">
        <w:rPr>
          <w:rFonts w:cs="Arial"/>
        </w:rPr>
        <w:t xml:space="preserve"> and ten working weeks. It should be reasonable and proportionate, but not excessively long, and should provide sufficient opportunity for an improvement to take place.</w:t>
      </w:r>
    </w:p>
  </w:footnote>
  <w:footnote w:id="2">
    <w:p w14:paraId="7609AD81" w14:textId="77777777" w:rsidR="00607F70" w:rsidRDefault="00607F70" w:rsidP="00712D0A">
      <w:pPr>
        <w:pStyle w:val="FootnoteText"/>
      </w:pPr>
      <w:r>
        <w:rPr>
          <w:rStyle w:val="FootnoteReference"/>
        </w:rPr>
        <w:footnoteRef/>
      </w:r>
      <w:r>
        <w:t xml:space="preserve"> </w:t>
      </w:r>
      <w:r>
        <w:rPr>
          <w:i/>
        </w:rPr>
        <w:t xml:space="preserve">In Foundation Schools, Voluntary Aided Schools and Foundation Special Schools, the governing body is the employer but the power to dismiss can be delegated to the headteacher, to one or more governors, or to one or more governors acting with the headteacher.  In Community, Voluntary Controlled, Community Special, and Maintained Nursery schools, the power to determine that the member of staff should no longer work at the school can be delegated in the same way as </w:t>
      </w:r>
      <w:r>
        <w:rPr>
          <w:i/>
        </w:rPr>
        <w:t>above but it is the local authority (as the employer) that actually dismisses staff (or – for those who work in more than one school – requires them to cease to work at the school).</w:t>
      </w:r>
      <w:r>
        <w:t xml:space="preserve"> </w:t>
      </w:r>
    </w:p>
    <w:p w14:paraId="6C52194F" w14:textId="77777777" w:rsidR="00607F70" w:rsidRDefault="00607F70" w:rsidP="00712D0A">
      <w:pPr>
        <w:pStyle w:val="FootnoteText"/>
      </w:pPr>
    </w:p>
  </w:footnote>
  <w:footnote w:id="3">
    <w:p w14:paraId="05D446A1" w14:textId="66E26AE8" w:rsidR="0091193B" w:rsidRPr="006A487D" w:rsidRDefault="0091193B">
      <w:pPr>
        <w:pStyle w:val="FootnoteText"/>
        <w:rPr>
          <w:i/>
          <w:iCs/>
        </w:rPr>
      </w:pPr>
      <w:r>
        <w:rPr>
          <w:rStyle w:val="FootnoteReference"/>
        </w:rPr>
        <w:footnoteRef/>
      </w:r>
      <w:r>
        <w:t xml:space="preserve"> </w:t>
      </w:r>
      <w:r w:rsidRPr="006A487D">
        <w:rPr>
          <w:i/>
          <w:iCs/>
        </w:rPr>
        <w:t>Where</w:t>
      </w:r>
      <w:r w:rsidR="006A487D" w:rsidRPr="006A487D">
        <w:rPr>
          <w:i/>
          <w:iCs/>
        </w:rPr>
        <w:t xml:space="preserve"> there is insufficient</w:t>
      </w:r>
      <w:r w:rsidRPr="006A487D">
        <w:rPr>
          <w:i/>
          <w:iCs/>
        </w:rPr>
        <w:t xml:space="preserve"> </w:t>
      </w:r>
      <w:r w:rsidR="006A487D" w:rsidRPr="006A487D">
        <w:rPr>
          <w:i/>
          <w:iCs/>
        </w:rPr>
        <w:t xml:space="preserve">evidence of the </w:t>
      </w:r>
      <w:r w:rsidRPr="006A487D">
        <w:rPr>
          <w:i/>
          <w:iCs/>
        </w:rPr>
        <w:t xml:space="preserve">support and guidance </w:t>
      </w:r>
      <w:r w:rsidR="006A487D" w:rsidRPr="006A487D">
        <w:rPr>
          <w:i/>
          <w:iCs/>
        </w:rPr>
        <w:t xml:space="preserve">that </w:t>
      </w:r>
      <w:r w:rsidRPr="006A487D">
        <w:rPr>
          <w:i/>
          <w:iCs/>
        </w:rPr>
        <w:t>has been provided to the employee, extend the monitoring and review period and schedule a further formal review meeting</w:t>
      </w:r>
      <w:r w:rsidR="006A487D" w:rsidRPr="006A487D">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2A7A2" w14:textId="77777777" w:rsidR="00607F70" w:rsidRDefault="00607F70">
    <w:pPr>
      <w:pStyle w:val="Header"/>
    </w:pPr>
    <w:r w:rsidRPr="00996407">
      <w:rPr>
        <w:noProof/>
      </w:rPr>
      <w:drawing>
        <wp:anchor distT="0" distB="0" distL="114300" distR="114300" simplePos="0" relativeHeight="251659264" behindDoc="1" locked="1" layoutInCell="1" allowOverlap="1" wp14:anchorId="4EDB6812" wp14:editId="26039B6B">
          <wp:simplePos x="0" y="0"/>
          <wp:positionH relativeFrom="page">
            <wp:posOffset>5207635</wp:posOffset>
          </wp:positionH>
          <wp:positionV relativeFrom="page">
            <wp:posOffset>296545</wp:posOffset>
          </wp:positionV>
          <wp:extent cx="2004695" cy="42799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4695" cy="4279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6985"/>
    <w:multiLevelType w:val="multilevel"/>
    <w:tmpl w:val="5538D668"/>
    <w:styleLink w:val="TableBulletedListstyle"/>
    <w:lvl w:ilvl="0">
      <w:start w:val="1"/>
      <w:numFmt w:val="bullet"/>
      <w:pStyle w:val="TableBulletedList"/>
      <w:lvlText w:val=""/>
      <w:lvlJc w:val="left"/>
      <w:pPr>
        <w:ind w:left="284" w:hanging="284"/>
      </w:pPr>
      <w:rPr>
        <w:rFonts w:ascii="Wingdings" w:hAnsi="Wingdings" w:hint="default"/>
        <w:color w:val="5F5F5F" w:themeColor="accent5"/>
      </w:rPr>
    </w:lvl>
    <w:lvl w:ilvl="1">
      <w:start w:val="1"/>
      <w:numFmt w:val="bullet"/>
      <w:lvlText w:val=""/>
      <w:lvlJc w:val="left"/>
      <w:pPr>
        <w:ind w:left="568" w:hanging="284"/>
      </w:pPr>
      <w:rPr>
        <w:rFonts w:ascii="Wingdings" w:hAnsi="Wingdings" w:hint="default"/>
        <w:color w:val="5F5F5F" w:themeColor="accent5"/>
      </w:rPr>
    </w:lvl>
    <w:lvl w:ilvl="2">
      <w:start w:val="1"/>
      <w:numFmt w:val="bullet"/>
      <w:lvlText w:val=""/>
      <w:lvlJc w:val="left"/>
      <w:pPr>
        <w:ind w:left="852" w:hanging="284"/>
      </w:pPr>
      <w:rPr>
        <w:rFonts w:ascii="Wingdings" w:hAnsi="Wingdings" w:hint="default"/>
        <w:color w:val="5F5F5F" w:themeColor="accent5"/>
      </w:rPr>
    </w:lvl>
    <w:lvl w:ilvl="3">
      <w:start w:val="1"/>
      <w:numFmt w:val="bullet"/>
      <w:lvlText w:val=""/>
      <w:lvlJc w:val="left"/>
      <w:pPr>
        <w:ind w:left="1136" w:hanging="284"/>
      </w:pPr>
      <w:rPr>
        <w:rFonts w:ascii="Wingdings" w:hAnsi="Wingdings" w:hint="default"/>
        <w:color w:val="5F5F5F" w:themeColor="accent5"/>
      </w:rPr>
    </w:lvl>
    <w:lvl w:ilvl="4">
      <w:start w:val="1"/>
      <w:numFmt w:val="bullet"/>
      <w:lvlText w:val=""/>
      <w:lvlJc w:val="left"/>
      <w:pPr>
        <w:ind w:left="1420" w:hanging="284"/>
      </w:pPr>
      <w:rPr>
        <w:rFonts w:ascii="Wingdings" w:hAnsi="Wingdings" w:hint="default"/>
        <w:color w:val="5F5F5F" w:themeColor="accent5"/>
      </w:rPr>
    </w:lvl>
    <w:lvl w:ilvl="5">
      <w:start w:val="1"/>
      <w:numFmt w:val="bullet"/>
      <w:lvlText w:val=""/>
      <w:lvlJc w:val="left"/>
      <w:pPr>
        <w:ind w:left="1704" w:hanging="284"/>
      </w:pPr>
      <w:rPr>
        <w:rFonts w:ascii="Wingdings" w:hAnsi="Wingdings" w:hint="default"/>
        <w:color w:val="5F5F5F" w:themeColor="accent5"/>
      </w:rPr>
    </w:lvl>
    <w:lvl w:ilvl="6">
      <w:start w:val="1"/>
      <w:numFmt w:val="bullet"/>
      <w:lvlText w:val=""/>
      <w:lvlJc w:val="left"/>
      <w:pPr>
        <w:ind w:left="1988" w:hanging="284"/>
      </w:pPr>
      <w:rPr>
        <w:rFonts w:ascii="Wingdings" w:hAnsi="Wingdings" w:hint="default"/>
        <w:color w:val="5F5F5F" w:themeColor="accent5"/>
      </w:rPr>
    </w:lvl>
    <w:lvl w:ilvl="7">
      <w:start w:val="1"/>
      <w:numFmt w:val="bullet"/>
      <w:lvlText w:val=""/>
      <w:lvlJc w:val="left"/>
      <w:pPr>
        <w:ind w:left="2272" w:hanging="284"/>
      </w:pPr>
      <w:rPr>
        <w:rFonts w:ascii="Wingdings" w:hAnsi="Wingdings" w:hint="default"/>
        <w:color w:val="5F5F5F" w:themeColor="accent5"/>
      </w:rPr>
    </w:lvl>
    <w:lvl w:ilvl="8">
      <w:start w:val="1"/>
      <w:numFmt w:val="bullet"/>
      <w:lvlText w:val=""/>
      <w:lvlJc w:val="left"/>
      <w:pPr>
        <w:ind w:left="2556" w:hanging="284"/>
      </w:pPr>
      <w:rPr>
        <w:rFonts w:ascii="Wingdings" w:hAnsi="Wingdings" w:hint="default"/>
        <w:color w:val="5F5F5F" w:themeColor="accent5"/>
      </w:rPr>
    </w:lvl>
  </w:abstractNum>
  <w:abstractNum w:abstractNumId="1" w15:restartNumberingAfterBreak="0">
    <w:nsid w:val="122302A4"/>
    <w:multiLevelType w:val="multilevel"/>
    <w:tmpl w:val="6E38E986"/>
    <w:numStyleLink w:val="BulletedList"/>
  </w:abstractNum>
  <w:abstractNum w:abstractNumId="2" w15:restartNumberingAfterBreak="0">
    <w:nsid w:val="138D4889"/>
    <w:multiLevelType w:val="multilevel"/>
    <w:tmpl w:val="2118E64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9A288B"/>
    <w:multiLevelType w:val="hybridMultilevel"/>
    <w:tmpl w:val="7A4E74AA"/>
    <w:lvl w:ilvl="0" w:tplc="64A0DD44">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32A62"/>
    <w:multiLevelType w:val="hybridMultilevel"/>
    <w:tmpl w:val="27624D0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501A94"/>
    <w:multiLevelType w:val="multilevel"/>
    <w:tmpl w:val="60308892"/>
    <w:styleLink w:val="NumberedList"/>
    <w:lvl w:ilvl="0">
      <w:start w:val="1"/>
      <w:numFmt w:val="decimal"/>
      <w:pStyle w:val="Numberedlist0"/>
      <w:lvlText w:val="%1."/>
      <w:lvlJc w:val="left"/>
      <w:pPr>
        <w:ind w:left="907" w:hanging="453"/>
      </w:pPr>
      <w:rPr>
        <w:rFonts w:hint="default"/>
      </w:rPr>
    </w:lvl>
    <w:lvl w:ilvl="1">
      <w:start w:val="1"/>
      <w:numFmt w:val="lowerLetter"/>
      <w:lvlText w:val="%2."/>
      <w:lvlJc w:val="left"/>
      <w:pPr>
        <w:ind w:left="1361" w:hanging="453"/>
      </w:pPr>
      <w:rPr>
        <w:rFonts w:hint="default"/>
      </w:rPr>
    </w:lvl>
    <w:lvl w:ilvl="2">
      <w:start w:val="1"/>
      <w:numFmt w:val="lowerRoman"/>
      <w:lvlText w:val="%3."/>
      <w:lvlJc w:val="righ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righ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right"/>
      <w:pPr>
        <w:ind w:left="4539" w:hanging="453"/>
      </w:pPr>
      <w:rPr>
        <w:rFonts w:hint="default"/>
      </w:rPr>
    </w:lvl>
  </w:abstractNum>
  <w:abstractNum w:abstractNumId="6" w15:restartNumberingAfterBreak="0">
    <w:nsid w:val="19586A5F"/>
    <w:multiLevelType w:val="multilevel"/>
    <w:tmpl w:val="6E38E986"/>
    <w:styleLink w:val="BulletedList"/>
    <w:lvl w:ilvl="0">
      <w:start w:val="1"/>
      <w:numFmt w:val="bullet"/>
      <w:pStyle w:val="ListParagraph"/>
      <w:lvlText w:val=""/>
      <w:lvlJc w:val="left"/>
      <w:pPr>
        <w:ind w:left="907" w:hanging="453"/>
      </w:pPr>
      <w:rPr>
        <w:rFonts w:ascii="Wingdings" w:hAnsi="Wingdings" w:hint="default"/>
        <w:color w:val="5F5F5F" w:themeColor="accent5"/>
      </w:rPr>
    </w:lvl>
    <w:lvl w:ilvl="1">
      <w:start w:val="1"/>
      <w:numFmt w:val="bullet"/>
      <w:lvlText w:val=""/>
      <w:lvlJc w:val="left"/>
      <w:pPr>
        <w:ind w:left="1361" w:hanging="453"/>
      </w:pPr>
      <w:rPr>
        <w:rFonts w:ascii="Wingdings" w:hAnsi="Wingdings" w:hint="default"/>
        <w:color w:val="808080" w:themeColor="accent4"/>
      </w:rPr>
    </w:lvl>
    <w:lvl w:ilvl="2">
      <w:start w:val="1"/>
      <w:numFmt w:val="bullet"/>
      <w:lvlText w:val=""/>
      <w:lvlJc w:val="left"/>
      <w:pPr>
        <w:ind w:left="1815" w:hanging="453"/>
      </w:pPr>
      <w:rPr>
        <w:rFonts w:ascii="Wingdings" w:hAnsi="Wingdings" w:hint="default"/>
        <w:color w:val="969696" w:themeColor="accent3"/>
      </w:rPr>
    </w:lvl>
    <w:lvl w:ilvl="3">
      <w:start w:val="1"/>
      <w:numFmt w:val="bullet"/>
      <w:lvlText w:val=""/>
      <w:lvlJc w:val="left"/>
      <w:pPr>
        <w:ind w:left="2269" w:hanging="453"/>
      </w:pPr>
      <w:rPr>
        <w:rFonts w:ascii="Wingdings" w:hAnsi="Wingdings" w:hint="default"/>
        <w:color w:val="B2B2B2" w:themeColor="accent2"/>
      </w:rPr>
    </w:lvl>
    <w:lvl w:ilvl="4">
      <w:start w:val="1"/>
      <w:numFmt w:val="bullet"/>
      <w:lvlText w:val=""/>
      <w:lvlJc w:val="left"/>
      <w:pPr>
        <w:ind w:left="2723" w:hanging="453"/>
      </w:pPr>
      <w:rPr>
        <w:rFonts w:ascii="Wingdings" w:hAnsi="Wingdings" w:hint="default"/>
        <w:color w:val="B2B2B2" w:themeColor="accent2"/>
      </w:rPr>
    </w:lvl>
    <w:lvl w:ilvl="5">
      <w:start w:val="1"/>
      <w:numFmt w:val="bullet"/>
      <w:lvlText w:val=""/>
      <w:lvlJc w:val="left"/>
      <w:pPr>
        <w:ind w:left="3177" w:hanging="453"/>
      </w:pPr>
      <w:rPr>
        <w:rFonts w:ascii="Wingdings" w:hAnsi="Wingdings" w:hint="default"/>
      </w:rPr>
    </w:lvl>
    <w:lvl w:ilvl="6">
      <w:start w:val="1"/>
      <w:numFmt w:val="bullet"/>
      <w:lvlText w:val=""/>
      <w:lvlJc w:val="left"/>
      <w:pPr>
        <w:ind w:left="3631" w:hanging="453"/>
      </w:pPr>
      <w:rPr>
        <w:rFonts w:ascii="Symbol" w:hAnsi="Symbol" w:hint="default"/>
      </w:rPr>
    </w:lvl>
    <w:lvl w:ilvl="7">
      <w:start w:val="1"/>
      <w:numFmt w:val="bullet"/>
      <w:lvlText w:val="o"/>
      <w:lvlJc w:val="left"/>
      <w:pPr>
        <w:ind w:left="4085" w:hanging="453"/>
      </w:pPr>
      <w:rPr>
        <w:rFonts w:ascii="Courier New" w:hAnsi="Courier New" w:cs="Courier New" w:hint="default"/>
      </w:rPr>
    </w:lvl>
    <w:lvl w:ilvl="8">
      <w:start w:val="1"/>
      <w:numFmt w:val="bullet"/>
      <w:lvlText w:val=""/>
      <w:lvlJc w:val="left"/>
      <w:pPr>
        <w:ind w:left="4539" w:hanging="453"/>
      </w:pPr>
      <w:rPr>
        <w:rFonts w:ascii="Wingdings" w:hAnsi="Wingdings" w:hint="default"/>
      </w:rPr>
    </w:lvl>
  </w:abstractNum>
  <w:abstractNum w:abstractNumId="7" w15:restartNumberingAfterBreak="0">
    <w:nsid w:val="19614899"/>
    <w:multiLevelType w:val="multilevel"/>
    <w:tmpl w:val="6CC07608"/>
    <w:styleLink w:val="TableNumberedListstyle"/>
    <w:lvl w:ilvl="0">
      <w:start w:val="1"/>
      <w:numFmt w:val="decimal"/>
      <w:pStyle w:val="TableNumberedList"/>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1A590E86"/>
    <w:multiLevelType w:val="hybridMultilevel"/>
    <w:tmpl w:val="D4BCE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B75FD5"/>
    <w:multiLevelType w:val="multilevel"/>
    <w:tmpl w:val="6E38E986"/>
    <w:numStyleLink w:val="BulletedList"/>
  </w:abstractNum>
  <w:abstractNum w:abstractNumId="10" w15:restartNumberingAfterBreak="0">
    <w:nsid w:val="2A426B82"/>
    <w:multiLevelType w:val="hybridMultilevel"/>
    <w:tmpl w:val="E4341F78"/>
    <w:lvl w:ilvl="0" w:tplc="2108982C">
      <w:start w:val="1"/>
      <w:numFmt w:val="bullet"/>
      <w:lvlText w:val=""/>
      <w:lvlJc w:val="left"/>
      <w:pPr>
        <w:ind w:left="1440" w:hanging="360"/>
      </w:pPr>
      <w:rPr>
        <w:rFonts w:ascii="Wingdings" w:hAnsi="Wingdings" w:hint="default"/>
        <w:color w:val="808080" w:themeColor="accent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B046C26"/>
    <w:multiLevelType w:val="multilevel"/>
    <w:tmpl w:val="E9A4E98A"/>
    <w:styleLink w:val="TableLetteredListstyle"/>
    <w:lvl w:ilvl="0">
      <w:start w:val="1"/>
      <w:numFmt w:val="lowerLetter"/>
      <w:pStyle w:val="TableLetteredList"/>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2E0365E1"/>
    <w:multiLevelType w:val="multilevel"/>
    <w:tmpl w:val="6E38E986"/>
    <w:numStyleLink w:val="BulletedList"/>
  </w:abstractNum>
  <w:abstractNum w:abstractNumId="13" w15:restartNumberingAfterBreak="0">
    <w:nsid w:val="328D1BAC"/>
    <w:multiLevelType w:val="hybridMultilevel"/>
    <w:tmpl w:val="BAA4B15C"/>
    <w:lvl w:ilvl="0" w:tplc="08090001">
      <w:start w:val="1"/>
      <w:numFmt w:val="bullet"/>
      <w:lvlText w:val=""/>
      <w:lvlJc w:val="left"/>
      <w:pPr>
        <w:ind w:left="720" w:hanging="360"/>
      </w:pPr>
      <w:rPr>
        <w:rFonts w:ascii="Symbol" w:hAnsi="Symbo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8B079E"/>
    <w:multiLevelType w:val="multilevel"/>
    <w:tmpl w:val="589CB9F6"/>
    <w:lvl w:ilvl="0">
      <w:start w:val="1"/>
      <w:numFmt w:val="bullet"/>
      <w:lvlText w:val=""/>
      <w:lvlJc w:val="left"/>
      <w:pPr>
        <w:ind w:left="1440" w:hanging="360"/>
      </w:pPr>
      <w:rPr>
        <w:rFonts w:ascii="Wingdings" w:hAnsi="Wingdings" w:hint="default"/>
        <w:color w:val="808080" w:themeColor="accent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33E80407"/>
    <w:multiLevelType w:val="hybridMultilevel"/>
    <w:tmpl w:val="BF3E3932"/>
    <w:lvl w:ilvl="0" w:tplc="19BE0D54">
      <w:start w:val="1"/>
      <w:numFmt w:val="decimal"/>
      <w:pStyle w:val="Numberedparagraphs"/>
      <w:lvlText w:val="%1."/>
      <w:lvlJc w:val="left"/>
      <w:pPr>
        <w:ind w:left="-207" w:hanging="360"/>
      </w:pPr>
      <w:rPr>
        <w:rFonts w:hint="default"/>
        <w:color w:val="969696"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065021"/>
    <w:multiLevelType w:val="multilevel"/>
    <w:tmpl w:val="1CE4960E"/>
    <w:lvl w:ilvl="0">
      <w:start w:val="1"/>
      <w:numFmt w:val="none"/>
      <w:lvlText w:val="1."/>
      <w:lvlJc w:val="left"/>
      <w:pPr>
        <w:ind w:left="357" w:hanging="357"/>
      </w:pPr>
      <w:rPr>
        <w:rFonts w:hint="default"/>
      </w:rPr>
    </w:lvl>
    <w:lvl w:ilvl="1">
      <w:start w:val="1"/>
      <w:numFmt w:val="none"/>
      <w:lvlText w:val="1.1"/>
      <w:lvlJc w:val="left"/>
      <w:pPr>
        <w:ind w:left="714" w:hanging="357"/>
      </w:pPr>
      <w:rPr>
        <w:rFonts w:hint="default"/>
      </w:rPr>
    </w:lvl>
    <w:lvl w:ilvl="2">
      <w:start w:val="1"/>
      <w:numFmt w:val="none"/>
      <w:lvlText w:val="1.1.1"/>
      <w:lvlJc w:val="left"/>
      <w:pPr>
        <w:ind w:left="1071" w:hanging="357"/>
      </w:pPr>
      <w:rPr>
        <w:rFonts w:hint="default"/>
      </w:rPr>
    </w:lvl>
    <w:lvl w:ilvl="3">
      <w:start w:val="1"/>
      <w:numFmt w:val="none"/>
      <w:lvlText w:val="1.1.1.1"/>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3C2C12C7"/>
    <w:multiLevelType w:val="hybridMultilevel"/>
    <w:tmpl w:val="31142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7357DE"/>
    <w:multiLevelType w:val="hybridMultilevel"/>
    <w:tmpl w:val="C8A01580"/>
    <w:lvl w:ilvl="0" w:tplc="0809000F">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DCD27B9"/>
    <w:multiLevelType w:val="hybridMultilevel"/>
    <w:tmpl w:val="565EA630"/>
    <w:lvl w:ilvl="0" w:tplc="08090001">
      <w:start w:val="1"/>
      <w:numFmt w:val="bullet"/>
      <w:lvlText w:val=""/>
      <w:lvlJc w:val="left"/>
      <w:pPr>
        <w:ind w:left="720" w:hanging="360"/>
      </w:pPr>
      <w:rPr>
        <w:rFonts w:ascii="Symbol" w:hAnsi="Symbo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6B4FAA"/>
    <w:multiLevelType w:val="multilevel"/>
    <w:tmpl w:val="1CE4960E"/>
    <w:lvl w:ilvl="0">
      <w:start w:val="1"/>
      <w:numFmt w:val="none"/>
      <w:lvlText w:val="1."/>
      <w:lvlJc w:val="left"/>
      <w:pPr>
        <w:ind w:left="357" w:hanging="357"/>
      </w:pPr>
      <w:rPr>
        <w:rFonts w:hint="default"/>
      </w:rPr>
    </w:lvl>
    <w:lvl w:ilvl="1">
      <w:start w:val="1"/>
      <w:numFmt w:val="none"/>
      <w:lvlText w:val="1.1"/>
      <w:lvlJc w:val="left"/>
      <w:pPr>
        <w:ind w:left="714" w:hanging="357"/>
      </w:pPr>
      <w:rPr>
        <w:rFonts w:hint="default"/>
      </w:rPr>
    </w:lvl>
    <w:lvl w:ilvl="2">
      <w:start w:val="1"/>
      <w:numFmt w:val="none"/>
      <w:lvlText w:val="1.1.1"/>
      <w:lvlJc w:val="left"/>
      <w:pPr>
        <w:ind w:left="1071" w:hanging="357"/>
      </w:pPr>
      <w:rPr>
        <w:rFonts w:hint="default"/>
      </w:rPr>
    </w:lvl>
    <w:lvl w:ilvl="3">
      <w:start w:val="1"/>
      <w:numFmt w:val="none"/>
      <w:lvlText w:val="1.1.1.1"/>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50867D9E"/>
    <w:multiLevelType w:val="hybridMultilevel"/>
    <w:tmpl w:val="B744597A"/>
    <w:lvl w:ilvl="0" w:tplc="4AEA80F2">
      <w:start w:val="1"/>
      <w:numFmt w:val="lowerLetter"/>
      <w:lvlText w:val="%1."/>
      <w:lvlJc w:val="left"/>
      <w:pPr>
        <w:ind w:left="1176" w:hanging="360"/>
      </w:pPr>
    </w:lvl>
    <w:lvl w:ilvl="1" w:tplc="08090019">
      <w:start w:val="1"/>
      <w:numFmt w:val="lowerLetter"/>
      <w:lvlText w:val="%2."/>
      <w:lvlJc w:val="left"/>
      <w:pPr>
        <w:ind w:left="2254" w:hanging="360"/>
      </w:pPr>
    </w:lvl>
    <w:lvl w:ilvl="2" w:tplc="0809001B">
      <w:start w:val="1"/>
      <w:numFmt w:val="lowerRoman"/>
      <w:lvlText w:val="%3."/>
      <w:lvlJc w:val="right"/>
      <w:pPr>
        <w:ind w:left="2974" w:hanging="180"/>
      </w:pPr>
    </w:lvl>
    <w:lvl w:ilvl="3" w:tplc="0809000F" w:tentative="1">
      <w:start w:val="1"/>
      <w:numFmt w:val="decimal"/>
      <w:lvlText w:val="%4."/>
      <w:lvlJc w:val="left"/>
      <w:pPr>
        <w:ind w:left="3694" w:hanging="360"/>
      </w:pPr>
    </w:lvl>
    <w:lvl w:ilvl="4" w:tplc="08090019" w:tentative="1">
      <w:start w:val="1"/>
      <w:numFmt w:val="lowerLetter"/>
      <w:lvlText w:val="%5."/>
      <w:lvlJc w:val="left"/>
      <w:pPr>
        <w:ind w:left="4414" w:hanging="360"/>
      </w:pPr>
    </w:lvl>
    <w:lvl w:ilvl="5" w:tplc="0809001B" w:tentative="1">
      <w:start w:val="1"/>
      <w:numFmt w:val="lowerRoman"/>
      <w:lvlText w:val="%6."/>
      <w:lvlJc w:val="right"/>
      <w:pPr>
        <w:ind w:left="5134" w:hanging="180"/>
      </w:pPr>
    </w:lvl>
    <w:lvl w:ilvl="6" w:tplc="0809000F" w:tentative="1">
      <w:start w:val="1"/>
      <w:numFmt w:val="decimal"/>
      <w:lvlText w:val="%7."/>
      <w:lvlJc w:val="left"/>
      <w:pPr>
        <w:ind w:left="5854" w:hanging="360"/>
      </w:pPr>
    </w:lvl>
    <w:lvl w:ilvl="7" w:tplc="08090019" w:tentative="1">
      <w:start w:val="1"/>
      <w:numFmt w:val="lowerLetter"/>
      <w:lvlText w:val="%8."/>
      <w:lvlJc w:val="left"/>
      <w:pPr>
        <w:ind w:left="6574" w:hanging="360"/>
      </w:pPr>
    </w:lvl>
    <w:lvl w:ilvl="8" w:tplc="0809001B" w:tentative="1">
      <w:start w:val="1"/>
      <w:numFmt w:val="lowerRoman"/>
      <w:lvlText w:val="%9."/>
      <w:lvlJc w:val="right"/>
      <w:pPr>
        <w:ind w:left="7294" w:hanging="180"/>
      </w:pPr>
    </w:lvl>
  </w:abstractNum>
  <w:abstractNum w:abstractNumId="22" w15:restartNumberingAfterBreak="0">
    <w:nsid w:val="590A23B9"/>
    <w:multiLevelType w:val="hybridMultilevel"/>
    <w:tmpl w:val="383C9FE8"/>
    <w:lvl w:ilvl="0" w:tplc="0809000F">
      <w:start w:val="8"/>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C92D14"/>
    <w:multiLevelType w:val="hybridMultilevel"/>
    <w:tmpl w:val="B4DE1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AF645C"/>
    <w:multiLevelType w:val="hybridMultilevel"/>
    <w:tmpl w:val="C96E231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8743E9"/>
    <w:multiLevelType w:val="multilevel"/>
    <w:tmpl w:val="60308892"/>
    <w:numStyleLink w:val="NumberedList"/>
  </w:abstractNum>
  <w:abstractNum w:abstractNumId="26" w15:restartNumberingAfterBreak="0">
    <w:nsid w:val="66534B00"/>
    <w:multiLevelType w:val="hybridMultilevel"/>
    <w:tmpl w:val="18083862"/>
    <w:lvl w:ilvl="0" w:tplc="8B68BE0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8E73EE"/>
    <w:multiLevelType w:val="hybridMultilevel"/>
    <w:tmpl w:val="EABA9E80"/>
    <w:lvl w:ilvl="0" w:tplc="DC0A113E">
      <w:start w:val="1"/>
      <w:numFmt w:val="decimal"/>
      <w:lvlText w:val="%1."/>
      <w:lvlJc w:val="left"/>
      <w:pPr>
        <w:ind w:left="1174" w:hanging="360"/>
      </w:pPr>
    </w:lvl>
    <w:lvl w:ilvl="1" w:tplc="08090019">
      <w:start w:val="1"/>
      <w:numFmt w:val="lowerLetter"/>
      <w:lvlText w:val="%2."/>
      <w:lvlJc w:val="left"/>
      <w:pPr>
        <w:ind w:left="1894" w:hanging="360"/>
      </w:pPr>
    </w:lvl>
    <w:lvl w:ilvl="2" w:tplc="0809001B">
      <w:start w:val="1"/>
      <w:numFmt w:val="lowerRoman"/>
      <w:lvlText w:val="%3."/>
      <w:lvlJc w:val="right"/>
      <w:pPr>
        <w:ind w:left="2614" w:hanging="180"/>
      </w:pPr>
    </w:lvl>
    <w:lvl w:ilvl="3" w:tplc="0809000F">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28" w15:restartNumberingAfterBreak="0">
    <w:nsid w:val="6EE50C2F"/>
    <w:multiLevelType w:val="hybridMultilevel"/>
    <w:tmpl w:val="187E227E"/>
    <w:lvl w:ilvl="0" w:tplc="08090001">
      <w:start w:val="1"/>
      <w:numFmt w:val="bullet"/>
      <w:lvlText w:val=""/>
      <w:lvlJc w:val="left"/>
      <w:pPr>
        <w:ind w:left="720" w:hanging="360"/>
      </w:pPr>
      <w:rPr>
        <w:rFonts w:ascii="Symbol" w:hAnsi="Symbo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A804C9"/>
    <w:multiLevelType w:val="hybridMultilevel"/>
    <w:tmpl w:val="4C7A4ED4"/>
    <w:lvl w:ilvl="0" w:tplc="A322B8A0">
      <w:start w:val="10"/>
      <w:numFmt w:val="decimal"/>
      <w:lvlText w:val="%1."/>
      <w:lvlJc w:val="left"/>
      <w:pPr>
        <w:ind w:left="526" w:hanging="384"/>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77222724"/>
    <w:multiLevelType w:val="hybridMultilevel"/>
    <w:tmpl w:val="0478D96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8C6A9F"/>
    <w:multiLevelType w:val="multilevel"/>
    <w:tmpl w:val="F31E6FB4"/>
    <w:styleLink w:val="Style1"/>
    <w:lvl w:ilvl="0">
      <w:start w:val="1"/>
      <w:numFmt w:val="lowerLetter"/>
      <w:pStyle w:val="Letteredlist"/>
      <w:lvlText w:val="%1)"/>
      <w:lvlJc w:val="left"/>
      <w:pPr>
        <w:ind w:left="907" w:hanging="453"/>
      </w:pPr>
      <w:rPr>
        <w:rFonts w:hint="default"/>
      </w:rPr>
    </w:lvl>
    <w:lvl w:ilvl="1">
      <w:start w:val="1"/>
      <w:numFmt w:val="lowerRoman"/>
      <w:lvlText w:val="%2)"/>
      <w:lvlJc w:val="left"/>
      <w:pPr>
        <w:ind w:left="1361" w:hanging="453"/>
      </w:pPr>
      <w:rPr>
        <w:rFonts w:hint="default"/>
      </w:rPr>
    </w:lvl>
    <w:lvl w:ilvl="2">
      <w:start w:val="1"/>
      <w:numFmt w:val="decimal"/>
      <w:lvlText w:val="(%3)"/>
      <w:lvlJc w:val="lef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lef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left"/>
      <w:pPr>
        <w:ind w:left="4539" w:hanging="453"/>
      </w:pPr>
      <w:rPr>
        <w:rFonts w:hint="default"/>
      </w:rPr>
    </w:lvl>
  </w:abstractNum>
  <w:abstractNum w:abstractNumId="32" w15:restartNumberingAfterBreak="0">
    <w:nsid w:val="7A9B587B"/>
    <w:multiLevelType w:val="hybridMultilevel"/>
    <w:tmpl w:val="18E2D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F5320A"/>
    <w:multiLevelType w:val="hybridMultilevel"/>
    <w:tmpl w:val="F2DC6B1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2C7CFC"/>
    <w:multiLevelType w:val="hybridMultilevel"/>
    <w:tmpl w:val="4E1E2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D809E6"/>
    <w:multiLevelType w:val="hybridMultilevel"/>
    <w:tmpl w:val="AD60DAC6"/>
    <w:lvl w:ilvl="0" w:tplc="5C1AD384">
      <w:start w:val="1"/>
      <w:numFmt w:val="bullet"/>
      <w:lvlText w:val=""/>
      <w:lvlJc w:val="left"/>
      <w:pPr>
        <w:ind w:left="1791" w:hanging="360"/>
      </w:pPr>
      <w:rPr>
        <w:rFonts w:ascii="Wingdings" w:hAnsi="Wingdings" w:hint="default"/>
        <w:color w:val="808080" w:themeColor="accent4"/>
      </w:rPr>
    </w:lvl>
    <w:lvl w:ilvl="1" w:tplc="08090003">
      <w:start w:val="1"/>
      <w:numFmt w:val="bullet"/>
      <w:lvlText w:val="o"/>
      <w:lvlJc w:val="left"/>
      <w:pPr>
        <w:ind w:left="2511" w:hanging="360"/>
      </w:pPr>
      <w:rPr>
        <w:rFonts w:ascii="Courier New" w:hAnsi="Courier New" w:cs="Courier New" w:hint="default"/>
      </w:rPr>
    </w:lvl>
    <w:lvl w:ilvl="2" w:tplc="08090005">
      <w:start w:val="1"/>
      <w:numFmt w:val="bullet"/>
      <w:lvlText w:val=""/>
      <w:lvlJc w:val="left"/>
      <w:pPr>
        <w:ind w:left="3231" w:hanging="360"/>
      </w:pPr>
      <w:rPr>
        <w:rFonts w:ascii="Wingdings" w:hAnsi="Wingdings" w:hint="default"/>
      </w:rPr>
    </w:lvl>
    <w:lvl w:ilvl="3" w:tplc="0809000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num w:numId="1">
    <w:abstractNumId w:val="35"/>
  </w:num>
  <w:num w:numId="2">
    <w:abstractNumId w:val="27"/>
  </w:num>
  <w:num w:numId="3">
    <w:abstractNumId w:val="21"/>
  </w:num>
  <w:num w:numId="4">
    <w:abstractNumId w:val="15"/>
  </w:num>
  <w:num w:numId="5">
    <w:abstractNumId w:val="10"/>
  </w:num>
  <w:num w:numId="6">
    <w:abstractNumId w:val="14"/>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2"/>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31"/>
    <w:lvlOverride w:ilvl="0">
      <w:lvl w:ilvl="0">
        <w:start w:val="1"/>
        <w:numFmt w:val="lowerLetter"/>
        <w:pStyle w:val="Letteredlist"/>
        <w:lvlText w:val="%1)"/>
        <w:lvlJc w:val="left"/>
        <w:pPr>
          <w:ind w:left="907" w:hanging="453"/>
        </w:pPr>
        <w:rPr>
          <w:rFonts w:hint="default"/>
        </w:rPr>
      </w:lvl>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0"/>
  </w:num>
  <w:num w:numId="24">
    <w:abstractNumId w:val="26"/>
  </w:num>
  <w:num w:numId="25">
    <w:abstractNumId w:val="7"/>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
  </w:num>
  <w:num w:numId="31">
    <w:abstractNumId w:val="19"/>
  </w:num>
  <w:num w:numId="32">
    <w:abstractNumId w:val="28"/>
  </w:num>
  <w:num w:numId="33">
    <w:abstractNumId w:val="13"/>
  </w:num>
  <w:num w:numId="34">
    <w:abstractNumId w:val="17"/>
  </w:num>
  <w:num w:numId="35">
    <w:abstractNumId w:val="34"/>
  </w:num>
  <w:num w:numId="36">
    <w:abstractNumId w:val="2"/>
  </w:num>
  <w:num w:numId="37">
    <w:abstractNumId w:val="23"/>
  </w:num>
  <w:num w:numId="38">
    <w:abstractNumId w:val="24"/>
  </w:num>
  <w:num w:numId="39">
    <w:abstractNumId w:val="30"/>
  </w:num>
  <w:num w:numId="40">
    <w:abstractNumId w:val="18"/>
  </w:num>
  <w:num w:numId="41">
    <w:abstractNumId w:val="22"/>
  </w:num>
  <w:num w:numId="42">
    <w:abstractNumId w:val="32"/>
  </w:num>
  <w:num w:numId="43">
    <w:abstractNumId w:val="4"/>
  </w:num>
  <w:num w:numId="44">
    <w:abstractNumId w:val="29"/>
  </w:num>
  <w:num w:numId="45">
    <w:abstractNumId w:val="33"/>
  </w:num>
  <w:num w:numId="4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D0A"/>
    <w:rsid w:val="00000E1E"/>
    <w:rsid w:val="00002C06"/>
    <w:rsid w:val="00012455"/>
    <w:rsid w:val="0001705A"/>
    <w:rsid w:val="00034682"/>
    <w:rsid w:val="000459E0"/>
    <w:rsid w:val="000738BC"/>
    <w:rsid w:val="000846C2"/>
    <w:rsid w:val="000E6938"/>
    <w:rsid w:val="00130636"/>
    <w:rsid w:val="00131119"/>
    <w:rsid w:val="00131138"/>
    <w:rsid w:val="001331D7"/>
    <w:rsid w:val="0014618D"/>
    <w:rsid w:val="00153BF5"/>
    <w:rsid w:val="001544A0"/>
    <w:rsid w:val="00191780"/>
    <w:rsid w:val="001D0E3E"/>
    <w:rsid w:val="001F4EAF"/>
    <w:rsid w:val="00204711"/>
    <w:rsid w:val="00207DD3"/>
    <w:rsid w:val="00212943"/>
    <w:rsid w:val="00220E0C"/>
    <w:rsid w:val="00250F6C"/>
    <w:rsid w:val="00255809"/>
    <w:rsid w:val="00281FB4"/>
    <w:rsid w:val="002B3C7E"/>
    <w:rsid w:val="002B6027"/>
    <w:rsid w:val="002B7B7A"/>
    <w:rsid w:val="00335967"/>
    <w:rsid w:val="00340FFC"/>
    <w:rsid w:val="00352075"/>
    <w:rsid w:val="0036414F"/>
    <w:rsid w:val="00372098"/>
    <w:rsid w:val="0037762E"/>
    <w:rsid w:val="003859EC"/>
    <w:rsid w:val="003874F4"/>
    <w:rsid w:val="003A3955"/>
    <w:rsid w:val="003A73E4"/>
    <w:rsid w:val="003B47BF"/>
    <w:rsid w:val="003F16B4"/>
    <w:rsid w:val="00401910"/>
    <w:rsid w:val="00414FDD"/>
    <w:rsid w:val="00442C2E"/>
    <w:rsid w:val="00447B02"/>
    <w:rsid w:val="0047507F"/>
    <w:rsid w:val="00494B19"/>
    <w:rsid w:val="0049738A"/>
    <w:rsid w:val="004F7332"/>
    <w:rsid w:val="00537E44"/>
    <w:rsid w:val="00540F1B"/>
    <w:rsid w:val="0054621D"/>
    <w:rsid w:val="00581053"/>
    <w:rsid w:val="005A1244"/>
    <w:rsid w:val="005D16B7"/>
    <w:rsid w:val="005D5DA5"/>
    <w:rsid w:val="005D7E5C"/>
    <w:rsid w:val="005F2E1B"/>
    <w:rsid w:val="00607F70"/>
    <w:rsid w:val="00612F70"/>
    <w:rsid w:val="00614DC0"/>
    <w:rsid w:val="0063463A"/>
    <w:rsid w:val="00662EAB"/>
    <w:rsid w:val="006A487D"/>
    <w:rsid w:val="006A773A"/>
    <w:rsid w:val="006B6BA6"/>
    <w:rsid w:val="006C77AC"/>
    <w:rsid w:val="006D744E"/>
    <w:rsid w:val="006E2945"/>
    <w:rsid w:val="006E3437"/>
    <w:rsid w:val="006E73D5"/>
    <w:rsid w:val="006F052C"/>
    <w:rsid w:val="00712D0A"/>
    <w:rsid w:val="007205D4"/>
    <w:rsid w:val="00726CF0"/>
    <w:rsid w:val="0074510D"/>
    <w:rsid w:val="007748B1"/>
    <w:rsid w:val="00780F0D"/>
    <w:rsid w:val="007E722C"/>
    <w:rsid w:val="007E7DBB"/>
    <w:rsid w:val="008206BE"/>
    <w:rsid w:val="0082655B"/>
    <w:rsid w:val="008265D1"/>
    <w:rsid w:val="0084037E"/>
    <w:rsid w:val="00842909"/>
    <w:rsid w:val="008507CE"/>
    <w:rsid w:val="00856515"/>
    <w:rsid w:val="00890CF6"/>
    <w:rsid w:val="008931A3"/>
    <w:rsid w:val="008A21C8"/>
    <w:rsid w:val="008A43B6"/>
    <w:rsid w:val="008C47A7"/>
    <w:rsid w:val="008D6F5B"/>
    <w:rsid w:val="0091193B"/>
    <w:rsid w:val="009268C1"/>
    <w:rsid w:val="00935911"/>
    <w:rsid w:val="00941ED0"/>
    <w:rsid w:val="009433F5"/>
    <w:rsid w:val="009552BC"/>
    <w:rsid w:val="0098094F"/>
    <w:rsid w:val="00984B1C"/>
    <w:rsid w:val="00986398"/>
    <w:rsid w:val="00996407"/>
    <w:rsid w:val="009A0B08"/>
    <w:rsid w:val="009A2C28"/>
    <w:rsid w:val="009C3629"/>
    <w:rsid w:val="009F45CE"/>
    <w:rsid w:val="00A22230"/>
    <w:rsid w:val="00A914F6"/>
    <w:rsid w:val="00B44102"/>
    <w:rsid w:val="00B9710C"/>
    <w:rsid w:val="00BA0D91"/>
    <w:rsid w:val="00BB4738"/>
    <w:rsid w:val="00BD7985"/>
    <w:rsid w:val="00C01352"/>
    <w:rsid w:val="00C0360F"/>
    <w:rsid w:val="00C07046"/>
    <w:rsid w:val="00C07C8A"/>
    <w:rsid w:val="00C17EA4"/>
    <w:rsid w:val="00C30955"/>
    <w:rsid w:val="00C3372C"/>
    <w:rsid w:val="00C4338B"/>
    <w:rsid w:val="00C80FA4"/>
    <w:rsid w:val="00CA3683"/>
    <w:rsid w:val="00CE3E46"/>
    <w:rsid w:val="00CE6344"/>
    <w:rsid w:val="00D41E0F"/>
    <w:rsid w:val="00D5216C"/>
    <w:rsid w:val="00D5516F"/>
    <w:rsid w:val="00D72B47"/>
    <w:rsid w:val="00D84B66"/>
    <w:rsid w:val="00DB43F5"/>
    <w:rsid w:val="00DB5D94"/>
    <w:rsid w:val="00DC5051"/>
    <w:rsid w:val="00DD5365"/>
    <w:rsid w:val="00DF51D5"/>
    <w:rsid w:val="00E9102E"/>
    <w:rsid w:val="00EC5C91"/>
    <w:rsid w:val="00EE4F02"/>
    <w:rsid w:val="00EF5490"/>
    <w:rsid w:val="00EF7121"/>
    <w:rsid w:val="00F44760"/>
    <w:rsid w:val="00F722B3"/>
    <w:rsid w:val="00F87C6E"/>
    <w:rsid w:val="00FD3450"/>
    <w:rsid w:val="00FD72B7"/>
    <w:rsid w:val="00FF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C5556B"/>
  <w15:docId w15:val="{F4282C23-2EA7-4397-8CEF-624A3553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pPr>
        <w:spacing w:after="3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8B1"/>
  </w:style>
  <w:style w:type="paragraph" w:styleId="Heading1">
    <w:name w:val="heading 1"/>
    <w:next w:val="Normal"/>
    <w:link w:val="Heading1Char"/>
    <w:uiPriority w:val="9"/>
    <w:qFormat/>
    <w:rsid w:val="00DF51D5"/>
    <w:pPr>
      <w:keepNext/>
      <w:pBdr>
        <w:bottom w:val="single" w:sz="4" w:space="1" w:color="969696" w:themeColor="accent3"/>
      </w:pBdr>
      <w:spacing w:before="600" w:after="240"/>
      <w:contextualSpacing/>
      <w:outlineLvl w:val="0"/>
    </w:pPr>
    <w:rPr>
      <w:rFonts w:asciiTheme="majorHAnsi" w:eastAsiaTheme="majorEastAsia" w:hAnsiTheme="majorHAnsi" w:cstheme="majorBidi"/>
      <w:bCs/>
      <w:sz w:val="38"/>
      <w:szCs w:val="28"/>
      <w:lang w:bidi="en-US"/>
    </w:rPr>
  </w:style>
  <w:style w:type="paragraph" w:styleId="Heading2">
    <w:name w:val="heading 2"/>
    <w:basedOn w:val="Normal"/>
    <w:next w:val="Normal"/>
    <w:link w:val="Heading2Char"/>
    <w:uiPriority w:val="9"/>
    <w:unhideWhenUsed/>
    <w:qFormat/>
    <w:rsid w:val="00012455"/>
    <w:pPr>
      <w:keepNext/>
      <w:spacing w:before="360" w:after="160"/>
      <w:outlineLvl w:val="1"/>
    </w:pPr>
    <w:rPr>
      <w:rFonts w:asciiTheme="majorHAnsi" w:eastAsiaTheme="majorEastAsia" w:hAnsiTheme="majorHAnsi" w:cstheme="majorBidi"/>
      <w:b/>
      <w:bCs/>
      <w:sz w:val="28"/>
      <w:szCs w:val="26"/>
      <w:lang w:bidi="en-US"/>
    </w:rPr>
  </w:style>
  <w:style w:type="paragraph" w:styleId="Heading3">
    <w:name w:val="heading 3"/>
    <w:basedOn w:val="Normal"/>
    <w:next w:val="Normal"/>
    <w:link w:val="Heading3Char"/>
    <w:uiPriority w:val="9"/>
    <w:unhideWhenUsed/>
    <w:qFormat/>
    <w:rsid w:val="00DF51D5"/>
    <w:pPr>
      <w:keepNext/>
      <w:spacing w:before="240" w:after="120"/>
      <w:outlineLvl w:val="2"/>
    </w:pPr>
    <w:rPr>
      <w:rFonts w:asciiTheme="majorHAnsi" w:eastAsiaTheme="majorEastAsia" w:hAnsiTheme="majorHAnsi" w:cstheme="majorBidi"/>
      <w:b/>
      <w:bCs/>
      <w:color w:val="5F5F5F" w:themeColor="accent5"/>
      <w:lang w:bidi="en-US"/>
    </w:rPr>
  </w:style>
  <w:style w:type="paragraph" w:styleId="Heading4">
    <w:name w:val="heading 4"/>
    <w:basedOn w:val="Normal"/>
    <w:next w:val="Normal"/>
    <w:link w:val="Heading4Char"/>
    <w:uiPriority w:val="9"/>
    <w:semiHidden/>
    <w:qFormat/>
    <w:rsid w:val="00D72B47"/>
    <w:pPr>
      <w:spacing w:before="240" w:after="120"/>
      <w:outlineLvl w:val="3"/>
    </w:pPr>
    <w:rPr>
      <w:rFonts w:asciiTheme="majorHAnsi" w:eastAsiaTheme="majorEastAsia" w:hAnsiTheme="majorHAnsi" w:cstheme="majorBidi"/>
      <w:b/>
      <w:bCs/>
      <w:iCs/>
      <w:color w:val="808080" w:themeColor="accent4"/>
      <w:lang w:bidi="en-US"/>
    </w:rPr>
  </w:style>
  <w:style w:type="paragraph" w:styleId="Heading5">
    <w:name w:val="heading 5"/>
    <w:basedOn w:val="Normal"/>
    <w:next w:val="Normal"/>
    <w:link w:val="Heading5Char"/>
    <w:uiPriority w:val="9"/>
    <w:semiHidden/>
    <w:qFormat/>
    <w:rsid w:val="00131138"/>
    <w:pPr>
      <w:spacing w:before="200" w:after="0"/>
      <w:outlineLvl w:val="4"/>
    </w:pPr>
    <w:rPr>
      <w:rFonts w:asciiTheme="majorHAnsi" w:eastAsiaTheme="majorEastAsia" w:hAnsiTheme="majorHAnsi" w:cstheme="majorBidi"/>
      <w:b/>
      <w:bCs/>
      <w:color w:val="7F7F7F" w:themeColor="text1" w:themeTint="80"/>
      <w:lang w:bidi="en-US"/>
    </w:rPr>
  </w:style>
  <w:style w:type="paragraph" w:styleId="Heading6">
    <w:name w:val="heading 6"/>
    <w:basedOn w:val="Normal"/>
    <w:next w:val="Normal"/>
    <w:link w:val="Heading6Char"/>
    <w:uiPriority w:val="9"/>
    <w:semiHidden/>
    <w:qFormat/>
    <w:rsid w:val="00131138"/>
    <w:pPr>
      <w:spacing w:after="0"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
    <w:semiHidden/>
    <w:qFormat/>
    <w:rsid w:val="00131138"/>
    <w:pPr>
      <w:spacing w:after="0"/>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
    <w:semiHidden/>
    <w:qFormat/>
    <w:rsid w:val="00131138"/>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
    <w:semiHidden/>
    <w:qFormat/>
    <w:rsid w:val="00131138"/>
    <w:pPr>
      <w:spacing w:after="0"/>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1D5"/>
    <w:rPr>
      <w:rFonts w:asciiTheme="majorHAnsi" w:eastAsiaTheme="majorEastAsia" w:hAnsiTheme="majorHAnsi" w:cstheme="majorBidi"/>
      <w:bCs/>
      <w:sz w:val="38"/>
      <w:szCs w:val="28"/>
      <w:lang w:bidi="en-US"/>
    </w:rPr>
  </w:style>
  <w:style w:type="character" w:customStyle="1" w:styleId="Heading2Char">
    <w:name w:val="Heading 2 Char"/>
    <w:basedOn w:val="DefaultParagraphFont"/>
    <w:link w:val="Heading2"/>
    <w:uiPriority w:val="9"/>
    <w:rsid w:val="00012455"/>
    <w:rPr>
      <w:rFonts w:asciiTheme="majorHAnsi" w:eastAsiaTheme="majorEastAsia" w:hAnsiTheme="majorHAnsi" w:cstheme="majorBidi"/>
      <w:b/>
      <w:bCs/>
      <w:sz w:val="28"/>
      <w:szCs w:val="26"/>
      <w:lang w:bidi="en-US"/>
    </w:rPr>
  </w:style>
  <w:style w:type="character" w:customStyle="1" w:styleId="Heading3Char">
    <w:name w:val="Heading 3 Char"/>
    <w:basedOn w:val="DefaultParagraphFont"/>
    <w:link w:val="Heading3"/>
    <w:uiPriority w:val="9"/>
    <w:rsid w:val="00DF51D5"/>
    <w:rPr>
      <w:rFonts w:asciiTheme="majorHAnsi" w:eastAsiaTheme="majorEastAsia" w:hAnsiTheme="majorHAnsi" w:cstheme="majorBidi"/>
      <w:b/>
      <w:bCs/>
      <w:color w:val="5F5F5F" w:themeColor="accent5"/>
      <w:lang w:bidi="en-US"/>
    </w:rPr>
  </w:style>
  <w:style w:type="character" w:customStyle="1" w:styleId="Heading4Char">
    <w:name w:val="Heading 4 Char"/>
    <w:basedOn w:val="DefaultParagraphFont"/>
    <w:link w:val="Heading4"/>
    <w:uiPriority w:val="9"/>
    <w:semiHidden/>
    <w:rsid w:val="00220E0C"/>
    <w:rPr>
      <w:rFonts w:asciiTheme="majorHAnsi" w:eastAsiaTheme="majorEastAsia" w:hAnsiTheme="majorHAnsi" w:cstheme="majorBidi"/>
      <w:b/>
      <w:bCs/>
      <w:iCs/>
      <w:color w:val="808080" w:themeColor="accent4"/>
      <w:lang w:bidi="en-US"/>
    </w:rPr>
  </w:style>
  <w:style w:type="paragraph" w:styleId="Quote">
    <w:name w:val="Quote"/>
    <w:basedOn w:val="IntenseQuote"/>
    <w:next w:val="Normal"/>
    <w:link w:val="QuoteChar"/>
    <w:uiPriority w:val="29"/>
    <w:qFormat/>
    <w:rsid w:val="000459E0"/>
    <w:pPr>
      <w:jc w:val="left"/>
    </w:pPr>
    <w:rPr>
      <w:b w:val="0"/>
    </w:rPr>
  </w:style>
  <w:style w:type="character" w:customStyle="1" w:styleId="QuoteChar">
    <w:name w:val="Quote Char"/>
    <w:basedOn w:val="DefaultParagraphFont"/>
    <w:link w:val="Quote"/>
    <w:uiPriority w:val="29"/>
    <w:rsid w:val="000459E0"/>
    <w:rPr>
      <w:bCs/>
      <w:i/>
      <w:iCs/>
      <w:lang w:bidi="en-US"/>
    </w:rPr>
  </w:style>
  <w:style w:type="paragraph" w:styleId="IntenseQuote">
    <w:name w:val="Intense Quote"/>
    <w:basedOn w:val="Normal"/>
    <w:next w:val="Normal"/>
    <w:link w:val="IntenseQuoteChar"/>
    <w:uiPriority w:val="30"/>
    <w:semiHidden/>
    <w:qFormat/>
    <w:rsid w:val="00131138"/>
    <w:pPr>
      <w:pBdr>
        <w:bottom w:val="single" w:sz="4" w:space="1" w:color="auto"/>
      </w:pBdr>
      <w:spacing w:before="200" w:after="280"/>
      <w:ind w:left="1008" w:right="1152"/>
      <w:jc w:val="both"/>
    </w:pPr>
    <w:rPr>
      <w:b/>
      <w:bCs/>
      <w:i/>
      <w:iCs/>
      <w:lang w:bidi="en-US"/>
    </w:rPr>
  </w:style>
  <w:style w:type="character" w:customStyle="1" w:styleId="IntenseQuoteChar">
    <w:name w:val="Intense Quote Char"/>
    <w:basedOn w:val="DefaultParagraphFont"/>
    <w:link w:val="IntenseQuote"/>
    <w:uiPriority w:val="30"/>
    <w:semiHidden/>
    <w:rsid w:val="00B44102"/>
    <w:rPr>
      <w:b/>
      <w:bCs/>
      <w:i/>
      <w:iCs/>
      <w:lang w:bidi="en-US"/>
    </w:rPr>
  </w:style>
  <w:style w:type="paragraph" w:styleId="Title">
    <w:name w:val="Title"/>
    <w:basedOn w:val="Normal"/>
    <w:next w:val="Normal"/>
    <w:link w:val="TitleChar"/>
    <w:uiPriority w:val="8"/>
    <w:qFormat/>
    <w:rsid w:val="008265D1"/>
    <w:pPr>
      <w:spacing w:before="480" w:after="480" w:line="240" w:lineRule="auto"/>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8"/>
    <w:rsid w:val="006E73D5"/>
    <w:rPr>
      <w:rFonts w:asciiTheme="majorHAnsi" w:eastAsiaTheme="majorEastAsia" w:hAnsiTheme="majorHAnsi" w:cstheme="majorBidi"/>
      <w:spacing w:val="5"/>
      <w:sz w:val="52"/>
      <w:szCs w:val="52"/>
      <w:lang w:bidi="en-US"/>
    </w:rPr>
  </w:style>
  <w:style w:type="character" w:customStyle="1" w:styleId="Heading5Char">
    <w:name w:val="Heading 5 Char"/>
    <w:basedOn w:val="DefaultParagraphFont"/>
    <w:link w:val="Heading5"/>
    <w:uiPriority w:val="9"/>
    <w:semiHidden/>
    <w:rsid w:val="00B44102"/>
    <w:rPr>
      <w:rFonts w:asciiTheme="majorHAnsi" w:eastAsiaTheme="majorEastAsia" w:hAnsiTheme="majorHAnsi" w:cstheme="majorBidi"/>
      <w:b/>
      <w:bCs/>
      <w:color w:val="7F7F7F" w:themeColor="text1" w:themeTint="80"/>
      <w:lang w:bidi="en-US"/>
    </w:rPr>
  </w:style>
  <w:style w:type="character" w:customStyle="1" w:styleId="Heading6Char">
    <w:name w:val="Heading 6 Char"/>
    <w:basedOn w:val="DefaultParagraphFont"/>
    <w:link w:val="Heading6"/>
    <w:uiPriority w:val="9"/>
    <w:semiHidden/>
    <w:rsid w:val="00B44102"/>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44102"/>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44102"/>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44102"/>
    <w:rPr>
      <w:rFonts w:asciiTheme="majorHAnsi" w:eastAsiaTheme="majorEastAsia" w:hAnsiTheme="majorHAnsi" w:cstheme="majorBidi"/>
      <w:i/>
      <w:iCs/>
      <w:spacing w:val="5"/>
      <w:sz w:val="20"/>
      <w:szCs w:val="20"/>
      <w:lang w:bidi="en-US"/>
    </w:rPr>
  </w:style>
  <w:style w:type="paragraph" w:styleId="Subtitle">
    <w:name w:val="Subtitle"/>
    <w:basedOn w:val="Normal"/>
    <w:next w:val="Normal"/>
    <w:link w:val="SubtitleChar"/>
    <w:uiPriority w:val="11"/>
    <w:semiHidden/>
    <w:qFormat/>
    <w:rsid w:val="00131138"/>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semiHidden/>
    <w:rsid w:val="00B44102"/>
    <w:rPr>
      <w:rFonts w:asciiTheme="majorHAnsi" w:eastAsiaTheme="majorEastAsia" w:hAnsiTheme="majorHAnsi" w:cstheme="majorBidi"/>
      <w:i/>
      <w:iCs/>
      <w:spacing w:val="13"/>
      <w:lang w:bidi="en-US"/>
    </w:rPr>
  </w:style>
  <w:style w:type="paragraph" w:styleId="NormalWeb">
    <w:name w:val="Normal (Web)"/>
    <w:basedOn w:val="Normal"/>
    <w:unhideWhenUsed/>
    <w:rsid w:val="00612F70"/>
    <w:rPr>
      <w:rFonts w:eastAsia="Times New Roman" w:cs="Times New Roman"/>
    </w:rPr>
  </w:style>
  <w:style w:type="character" w:styleId="Emphasis">
    <w:name w:val="Emphasis"/>
    <w:uiPriority w:val="20"/>
    <w:semiHidden/>
    <w:qFormat/>
    <w:rsid w:val="00131138"/>
    <w:rPr>
      <w:b/>
      <w:bCs/>
      <w:i/>
      <w:iCs/>
      <w:spacing w:val="10"/>
      <w:bdr w:val="none" w:sz="0" w:space="0" w:color="auto"/>
      <w:shd w:val="clear" w:color="auto" w:fill="auto"/>
    </w:rPr>
  </w:style>
  <w:style w:type="paragraph" w:styleId="NoSpacing">
    <w:name w:val="No Spacing"/>
    <w:basedOn w:val="Normal"/>
    <w:uiPriority w:val="1"/>
    <w:qFormat/>
    <w:rsid w:val="00131138"/>
    <w:pPr>
      <w:spacing w:after="0" w:line="240" w:lineRule="auto"/>
    </w:pPr>
  </w:style>
  <w:style w:type="character" w:styleId="SubtleEmphasis">
    <w:name w:val="Subtle Emphasis"/>
    <w:uiPriority w:val="19"/>
    <w:semiHidden/>
    <w:qFormat/>
    <w:rsid w:val="00131138"/>
    <w:rPr>
      <w:i/>
      <w:iCs/>
    </w:rPr>
  </w:style>
  <w:style w:type="character" w:styleId="IntenseEmphasis">
    <w:name w:val="Intense Emphasis"/>
    <w:uiPriority w:val="21"/>
    <w:semiHidden/>
    <w:qFormat/>
    <w:rsid w:val="00131138"/>
    <w:rPr>
      <w:b/>
      <w:bCs/>
    </w:rPr>
  </w:style>
  <w:style w:type="character" w:styleId="SubtleReference">
    <w:name w:val="Subtle Reference"/>
    <w:uiPriority w:val="31"/>
    <w:semiHidden/>
    <w:qFormat/>
    <w:rsid w:val="00131138"/>
    <w:rPr>
      <w:smallCaps/>
    </w:rPr>
  </w:style>
  <w:style w:type="character" w:styleId="IntenseReference">
    <w:name w:val="Intense Reference"/>
    <w:uiPriority w:val="32"/>
    <w:semiHidden/>
    <w:qFormat/>
    <w:rsid w:val="00131138"/>
    <w:rPr>
      <w:smallCaps/>
      <w:spacing w:val="5"/>
      <w:u w:val="single"/>
    </w:rPr>
  </w:style>
  <w:style w:type="character" w:styleId="BookTitle">
    <w:name w:val="Book Title"/>
    <w:uiPriority w:val="33"/>
    <w:semiHidden/>
    <w:qFormat/>
    <w:rsid w:val="00131138"/>
    <w:rPr>
      <w:i/>
      <w:iCs/>
      <w:smallCaps/>
      <w:spacing w:val="5"/>
    </w:rPr>
  </w:style>
  <w:style w:type="paragraph" w:styleId="TOCHeading">
    <w:name w:val="TOC Heading"/>
    <w:basedOn w:val="Heading1"/>
    <w:next w:val="Normal"/>
    <w:uiPriority w:val="39"/>
    <w:semiHidden/>
    <w:qFormat/>
    <w:rsid w:val="00131138"/>
    <w:pPr>
      <w:outlineLvl w:val="9"/>
    </w:pPr>
  </w:style>
  <w:style w:type="table" w:styleId="TableGrid">
    <w:name w:val="Table Grid"/>
    <w:basedOn w:val="TableNormal"/>
    <w:uiPriority w:val="59"/>
    <w:rsid w:val="00442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442C2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Letteredlist">
    <w:name w:val="Lettered list"/>
    <w:basedOn w:val="Numberedlist0"/>
    <w:uiPriority w:val="12"/>
    <w:qFormat/>
    <w:rsid w:val="00447B02"/>
    <w:pPr>
      <w:numPr>
        <w:numId w:val="17"/>
      </w:numPr>
    </w:pPr>
  </w:style>
  <w:style w:type="paragraph" w:customStyle="1" w:styleId="Numberedlist0">
    <w:name w:val="Numbered list"/>
    <w:basedOn w:val="Normal"/>
    <w:uiPriority w:val="11"/>
    <w:qFormat/>
    <w:rsid w:val="00A22230"/>
    <w:pPr>
      <w:numPr>
        <w:numId w:val="16"/>
      </w:numPr>
      <w:spacing w:after="240"/>
    </w:pPr>
  </w:style>
  <w:style w:type="paragraph" w:customStyle="1" w:styleId="Box-out">
    <w:name w:val="Box-out"/>
    <w:basedOn w:val="Normal"/>
    <w:uiPriority w:val="18"/>
    <w:qFormat/>
    <w:rsid w:val="002B3C7E"/>
    <w:pPr>
      <w:pBdr>
        <w:top w:val="single" w:sz="8" w:space="10" w:color="808080" w:themeColor="accent4"/>
        <w:left w:val="single" w:sz="8" w:space="10" w:color="808080" w:themeColor="accent4"/>
        <w:bottom w:val="single" w:sz="8" w:space="10" w:color="808080" w:themeColor="accent4"/>
        <w:right w:val="single" w:sz="8" w:space="10" w:color="808080" w:themeColor="accent4"/>
      </w:pBdr>
      <w:shd w:val="clear" w:color="auto" w:fill="EFEFEF" w:themeFill="accent2" w:themeFillTint="33"/>
      <w:ind w:left="255"/>
    </w:pPr>
  </w:style>
  <w:style w:type="character" w:customStyle="1" w:styleId="Bold">
    <w:name w:val="Bold"/>
    <w:basedOn w:val="DefaultParagraphFont"/>
    <w:uiPriority w:val="1"/>
    <w:qFormat/>
    <w:rsid w:val="00BB4738"/>
    <w:rPr>
      <w:b/>
    </w:rPr>
  </w:style>
  <w:style w:type="table" w:styleId="LightList-Accent1">
    <w:name w:val="Light List Accent 1"/>
    <w:basedOn w:val="TableNormal"/>
    <w:uiPriority w:val="61"/>
    <w:rsid w:val="00B44102"/>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Shading-Accent6">
    <w:name w:val="Light Shading Accent 6"/>
    <w:basedOn w:val="TableNormal"/>
    <w:uiPriority w:val="60"/>
    <w:rsid w:val="00B44102"/>
    <w:pPr>
      <w:spacing w:after="0" w:line="240" w:lineRule="auto"/>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table" w:styleId="LightShading-Accent5">
    <w:name w:val="Light Shading Accent 5"/>
    <w:basedOn w:val="TableNormal"/>
    <w:uiPriority w:val="60"/>
    <w:rsid w:val="00B44102"/>
    <w:pPr>
      <w:spacing w:after="0" w:line="240" w:lineRule="auto"/>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List-Accent2">
    <w:name w:val="Light List Accent 2"/>
    <w:basedOn w:val="TableNormal"/>
    <w:uiPriority w:val="61"/>
    <w:rsid w:val="00B44102"/>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character" w:customStyle="1" w:styleId="Italics">
    <w:name w:val="Italics"/>
    <w:basedOn w:val="DefaultParagraphFont"/>
    <w:uiPriority w:val="1"/>
    <w:qFormat/>
    <w:rsid w:val="00B44102"/>
    <w:rPr>
      <w:i/>
    </w:rPr>
  </w:style>
  <w:style w:type="paragraph" w:customStyle="1" w:styleId="Numberedparagraphs">
    <w:name w:val="Numbered paragraphs"/>
    <w:basedOn w:val="Normal"/>
    <w:uiPriority w:val="13"/>
    <w:qFormat/>
    <w:rsid w:val="00B44102"/>
    <w:pPr>
      <w:numPr>
        <w:numId w:val="4"/>
      </w:numPr>
      <w:ind w:left="0" w:hanging="567"/>
    </w:pPr>
  </w:style>
  <w:style w:type="paragraph" w:styleId="Header">
    <w:name w:val="header"/>
    <w:basedOn w:val="Normal"/>
    <w:link w:val="HeaderChar"/>
    <w:uiPriority w:val="99"/>
    <w:unhideWhenUsed/>
    <w:rsid w:val="00996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407"/>
  </w:style>
  <w:style w:type="paragraph" w:styleId="Footer">
    <w:name w:val="footer"/>
    <w:basedOn w:val="Normal"/>
    <w:link w:val="FooterChar"/>
    <w:uiPriority w:val="99"/>
    <w:unhideWhenUsed/>
    <w:rsid w:val="00EC5C91"/>
    <w:pPr>
      <w:tabs>
        <w:tab w:val="center" w:pos="4513"/>
        <w:tab w:val="right" w:pos="9026"/>
      </w:tabs>
      <w:spacing w:after="0" w:line="240" w:lineRule="auto"/>
      <w:jc w:val="center"/>
    </w:pPr>
    <w:rPr>
      <w:sz w:val="28"/>
    </w:rPr>
  </w:style>
  <w:style w:type="character" w:customStyle="1" w:styleId="FooterChar">
    <w:name w:val="Footer Char"/>
    <w:basedOn w:val="DefaultParagraphFont"/>
    <w:link w:val="Footer"/>
    <w:uiPriority w:val="99"/>
    <w:rsid w:val="00EC5C91"/>
    <w:rPr>
      <w:sz w:val="28"/>
    </w:rPr>
  </w:style>
  <w:style w:type="paragraph" w:styleId="FootnoteText">
    <w:name w:val="footnote text"/>
    <w:basedOn w:val="Normal"/>
    <w:link w:val="FootnoteTextChar"/>
    <w:semiHidden/>
    <w:unhideWhenUsed/>
    <w:rsid w:val="007E7D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DBB"/>
    <w:rPr>
      <w:sz w:val="20"/>
      <w:szCs w:val="20"/>
    </w:rPr>
  </w:style>
  <w:style w:type="character" w:styleId="FootnoteReference">
    <w:name w:val="footnote reference"/>
    <w:basedOn w:val="DefaultParagraphFont"/>
    <w:semiHidden/>
    <w:unhideWhenUsed/>
    <w:rsid w:val="007E7DBB"/>
    <w:rPr>
      <w:vertAlign w:val="superscript"/>
    </w:rPr>
  </w:style>
  <w:style w:type="character" w:styleId="Hyperlink">
    <w:name w:val="Hyperlink"/>
    <w:basedOn w:val="DefaultParagraphFont"/>
    <w:rsid w:val="00EC5C91"/>
    <w:rPr>
      <w:color w:val="0C62BA"/>
      <w:u w:val="single"/>
    </w:rPr>
  </w:style>
  <w:style w:type="paragraph" w:styleId="BalloonText">
    <w:name w:val="Balloon Text"/>
    <w:basedOn w:val="Normal"/>
    <w:link w:val="BalloonTextChar"/>
    <w:uiPriority w:val="99"/>
    <w:semiHidden/>
    <w:unhideWhenUsed/>
    <w:rsid w:val="00612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F70"/>
    <w:rPr>
      <w:rFonts w:ascii="Tahoma" w:hAnsi="Tahoma" w:cs="Tahoma"/>
      <w:sz w:val="16"/>
      <w:szCs w:val="16"/>
    </w:rPr>
  </w:style>
  <w:style w:type="paragraph" w:styleId="ListParagraph">
    <w:name w:val="List Paragraph"/>
    <w:basedOn w:val="Normal"/>
    <w:uiPriority w:val="34"/>
    <w:qFormat/>
    <w:rsid w:val="00A22230"/>
    <w:pPr>
      <w:numPr>
        <w:numId w:val="11"/>
      </w:numPr>
      <w:spacing w:after="240"/>
    </w:pPr>
    <w:rPr>
      <w:rFonts w:eastAsia="Times New Roman" w:cs="Times New Roman"/>
      <w:szCs w:val="22"/>
      <w:lang w:eastAsia="en-US"/>
    </w:rPr>
  </w:style>
  <w:style w:type="table" w:styleId="MediumGrid3-Accent4">
    <w:name w:val="Medium Grid 3 Accent 4"/>
    <w:basedOn w:val="TableNormal"/>
    <w:uiPriority w:val="69"/>
    <w:rsid w:val="000459E0"/>
    <w:pPr>
      <w:spacing w:after="0" w:line="240" w:lineRule="auto"/>
    </w:pPr>
    <w:rPr>
      <w:rFonts w:ascii="Arial" w:eastAsiaTheme="minorHAnsi" w:hAnsi="Arial" w:cs="Arial"/>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numbering" w:customStyle="1" w:styleId="BulletedList">
    <w:name w:val="Bulleted List"/>
    <w:uiPriority w:val="99"/>
    <w:rsid w:val="00A22230"/>
    <w:pPr>
      <w:numPr>
        <w:numId w:val="7"/>
      </w:numPr>
    </w:pPr>
  </w:style>
  <w:style w:type="numbering" w:customStyle="1" w:styleId="NumberedList">
    <w:name w:val="Numbered List"/>
    <w:uiPriority w:val="99"/>
    <w:rsid w:val="00A22230"/>
    <w:pPr>
      <w:numPr>
        <w:numId w:val="12"/>
      </w:numPr>
    </w:pPr>
  </w:style>
  <w:style w:type="numbering" w:customStyle="1" w:styleId="Style1">
    <w:name w:val="Style1"/>
    <w:uiPriority w:val="99"/>
    <w:rsid w:val="00447B02"/>
    <w:pPr>
      <w:numPr>
        <w:numId w:val="29"/>
      </w:numPr>
    </w:pPr>
  </w:style>
  <w:style w:type="paragraph" w:styleId="TOC1">
    <w:name w:val="toc 1"/>
    <w:basedOn w:val="Normal"/>
    <w:next w:val="Normal"/>
    <w:autoRedefine/>
    <w:uiPriority w:val="39"/>
    <w:semiHidden/>
    <w:qFormat/>
    <w:rsid w:val="008265D1"/>
    <w:pPr>
      <w:spacing w:after="200"/>
    </w:pPr>
    <w:rPr>
      <w:b/>
      <w:color w:val="5F5F5F" w:themeColor="accent5"/>
      <w:sz w:val="28"/>
    </w:rPr>
  </w:style>
  <w:style w:type="paragraph" w:styleId="TOC2">
    <w:name w:val="toc 2"/>
    <w:basedOn w:val="Normal"/>
    <w:next w:val="Normal"/>
    <w:autoRedefine/>
    <w:uiPriority w:val="39"/>
    <w:semiHidden/>
    <w:qFormat/>
    <w:rsid w:val="008265D1"/>
    <w:pPr>
      <w:tabs>
        <w:tab w:val="right" w:leader="dot" w:pos="9016"/>
      </w:tabs>
      <w:spacing w:after="100"/>
      <w:ind w:left="284"/>
    </w:pPr>
  </w:style>
  <w:style w:type="paragraph" w:styleId="TOC3">
    <w:name w:val="toc 3"/>
    <w:basedOn w:val="Normal"/>
    <w:next w:val="Normal"/>
    <w:autoRedefine/>
    <w:uiPriority w:val="39"/>
    <w:semiHidden/>
    <w:qFormat/>
    <w:rsid w:val="008265D1"/>
    <w:pPr>
      <w:spacing w:after="100"/>
      <w:ind w:left="567"/>
    </w:pPr>
  </w:style>
  <w:style w:type="paragraph" w:customStyle="1" w:styleId="TableText">
    <w:name w:val="Table Text"/>
    <w:basedOn w:val="Normal"/>
    <w:uiPriority w:val="13"/>
    <w:qFormat/>
    <w:rsid w:val="00335967"/>
    <w:pPr>
      <w:spacing w:before="80" w:after="80"/>
    </w:pPr>
    <w:rPr>
      <w:rFonts w:ascii="Arial" w:eastAsiaTheme="minorHAnsi" w:hAnsi="Arial" w:cs="Arial"/>
      <w:lang w:eastAsia="en-US"/>
    </w:rPr>
  </w:style>
  <w:style w:type="paragraph" w:customStyle="1" w:styleId="TableBulletedList">
    <w:name w:val="Table Bulleted List"/>
    <w:basedOn w:val="TableText"/>
    <w:uiPriority w:val="14"/>
    <w:qFormat/>
    <w:rsid w:val="00890CF6"/>
    <w:pPr>
      <w:numPr>
        <w:numId w:val="23"/>
      </w:numPr>
      <w:spacing w:line="240" w:lineRule="auto"/>
    </w:pPr>
  </w:style>
  <w:style w:type="paragraph" w:customStyle="1" w:styleId="TableNumberedList">
    <w:name w:val="Table Numbered List"/>
    <w:basedOn w:val="TableBulletedList"/>
    <w:uiPriority w:val="14"/>
    <w:qFormat/>
    <w:rsid w:val="00890CF6"/>
    <w:pPr>
      <w:numPr>
        <w:numId w:val="25"/>
      </w:numPr>
    </w:pPr>
  </w:style>
  <w:style w:type="numbering" w:customStyle="1" w:styleId="TableBulletedListstyle">
    <w:name w:val="Table Bulleted List style"/>
    <w:basedOn w:val="NoList"/>
    <w:uiPriority w:val="99"/>
    <w:rsid w:val="00890CF6"/>
    <w:pPr>
      <w:numPr>
        <w:numId w:val="23"/>
      </w:numPr>
    </w:pPr>
  </w:style>
  <w:style w:type="paragraph" w:customStyle="1" w:styleId="TableLetteredList">
    <w:name w:val="Table Lettered List"/>
    <w:basedOn w:val="TableNumberedList"/>
    <w:uiPriority w:val="14"/>
    <w:qFormat/>
    <w:rsid w:val="006E73D5"/>
    <w:pPr>
      <w:numPr>
        <w:numId w:val="26"/>
      </w:numPr>
    </w:pPr>
  </w:style>
  <w:style w:type="numbering" w:customStyle="1" w:styleId="TableNumberedListstyle">
    <w:name w:val="Table Numbered List style"/>
    <w:basedOn w:val="NoList"/>
    <w:uiPriority w:val="99"/>
    <w:rsid w:val="00890CF6"/>
    <w:pPr>
      <w:numPr>
        <w:numId w:val="25"/>
      </w:numPr>
    </w:pPr>
  </w:style>
  <w:style w:type="table" w:styleId="MediumGrid3-Accent2">
    <w:name w:val="Medium Grid 3 Accent 2"/>
    <w:basedOn w:val="TableNormal"/>
    <w:uiPriority w:val="69"/>
    <w:rsid w:val="006E73D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numbering" w:customStyle="1" w:styleId="TableLetteredListstyle">
    <w:name w:val="Table Lettered List style"/>
    <w:basedOn w:val="TableNumberedListstyle"/>
    <w:uiPriority w:val="99"/>
    <w:rsid w:val="006E73D5"/>
    <w:pPr>
      <w:numPr>
        <w:numId w:val="26"/>
      </w:numPr>
    </w:pPr>
  </w:style>
  <w:style w:type="paragraph" w:customStyle="1" w:styleId="T1">
    <w:name w:val="T1"/>
    <w:basedOn w:val="Normal"/>
    <w:rsid w:val="00712D0A"/>
    <w:pPr>
      <w:spacing w:before="160" w:after="0" w:line="220" w:lineRule="atLeast"/>
      <w:jc w:val="both"/>
    </w:pPr>
    <w:rPr>
      <w:rFonts w:ascii="Times New Roman" w:eastAsia="Times New Roman" w:hAnsi="Times New Roman" w:cs="Times New Roman"/>
      <w:sz w:val="21"/>
      <w:szCs w:val="20"/>
      <w:lang w:eastAsia="en-US"/>
    </w:rPr>
  </w:style>
  <w:style w:type="paragraph" w:styleId="BodyText">
    <w:name w:val="Body Text"/>
    <w:basedOn w:val="Normal"/>
    <w:link w:val="BodyTextChar"/>
    <w:rsid w:val="00712D0A"/>
    <w:pPr>
      <w:widowControl w:val="0"/>
      <w:overflowPunct w:val="0"/>
      <w:autoSpaceDE w:val="0"/>
      <w:autoSpaceDN w:val="0"/>
      <w:adjustRightInd w:val="0"/>
      <w:spacing w:after="120" w:line="240" w:lineRule="auto"/>
      <w:textAlignment w:val="baseline"/>
    </w:pPr>
    <w:rPr>
      <w:rFonts w:ascii="Arial" w:eastAsia="Times New Roman" w:hAnsi="Arial" w:cs="Times New Roman"/>
      <w:szCs w:val="20"/>
      <w:lang w:eastAsia="en-US"/>
    </w:rPr>
  </w:style>
  <w:style w:type="character" w:customStyle="1" w:styleId="BodyTextChar">
    <w:name w:val="Body Text Char"/>
    <w:basedOn w:val="DefaultParagraphFont"/>
    <w:link w:val="BodyText"/>
    <w:rsid w:val="00712D0A"/>
    <w:rPr>
      <w:rFonts w:ascii="Arial" w:eastAsia="Times New Roman" w:hAnsi="Arial" w:cs="Times New Roman"/>
      <w:szCs w:val="20"/>
      <w:lang w:eastAsia="en-US"/>
    </w:rPr>
  </w:style>
  <w:style w:type="character" w:styleId="UnresolvedMention">
    <w:name w:val="Unresolved Mention"/>
    <w:basedOn w:val="DefaultParagraphFont"/>
    <w:uiPriority w:val="99"/>
    <w:semiHidden/>
    <w:unhideWhenUsed/>
    <w:rsid w:val="00C30955"/>
    <w:rPr>
      <w:color w:val="605E5C"/>
      <w:shd w:val="clear" w:color="auto" w:fill="E1DFDD"/>
    </w:rPr>
  </w:style>
  <w:style w:type="character" w:styleId="FollowedHyperlink">
    <w:name w:val="FollowedHyperlink"/>
    <w:basedOn w:val="DefaultParagraphFont"/>
    <w:uiPriority w:val="99"/>
    <w:semiHidden/>
    <w:unhideWhenUsed/>
    <w:rsid w:val="00C30955"/>
    <w:rPr>
      <w:color w:val="919191" w:themeColor="followedHyperlink"/>
      <w:u w:val="single"/>
    </w:rPr>
  </w:style>
  <w:style w:type="character" w:styleId="CommentReference">
    <w:name w:val="annotation reference"/>
    <w:basedOn w:val="DefaultParagraphFont"/>
    <w:uiPriority w:val="99"/>
    <w:semiHidden/>
    <w:unhideWhenUsed/>
    <w:rsid w:val="0084037E"/>
    <w:rPr>
      <w:sz w:val="16"/>
      <w:szCs w:val="16"/>
    </w:rPr>
  </w:style>
  <w:style w:type="paragraph" w:styleId="CommentText">
    <w:name w:val="annotation text"/>
    <w:basedOn w:val="Normal"/>
    <w:link w:val="CommentTextChar"/>
    <w:uiPriority w:val="99"/>
    <w:unhideWhenUsed/>
    <w:rsid w:val="0084037E"/>
    <w:pPr>
      <w:spacing w:line="240" w:lineRule="auto"/>
    </w:pPr>
    <w:rPr>
      <w:sz w:val="20"/>
      <w:szCs w:val="20"/>
    </w:rPr>
  </w:style>
  <w:style w:type="character" w:customStyle="1" w:styleId="CommentTextChar">
    <w:name w:val="Comment Text Char"/>
    <w:basedOn w:val="DefaultParagraphFont"/>
    <w:link w:val="CommentText"/>
    <w:uiPriority w:val="99"/>
    <w:rsid w:val="0084037E"/>
    <w:rPr>
      <w:sz w:val="20"/>
      <w:szCs w:val="20"/>
    </w:rPr>
  </w:style>
  <w:style w:type="paragraph" w:styleId="CommentSubject">
    <w:name w:val="annotation subject"/>
    <w:basedOn w:val="CommentText"/>
    <w:next w:val="CommentText"/>
    <w:link w:val="CommentSubjectChar"/>
    <w:uiPriority w:val="99"/>
    <w:semiHidden/>
    <w:unhideWhenUsed/>
    <w:rsid w:val="0084037E"/>
    <w:rPr>
      <w:b/>
      <w:bCs/>
    </w:rPr>
  </w:style>
  <w:style w:type="character" w:customStyle="1" w:styleId="CommentSubjectChar">
    <w:name w:val="Comment Subject Char"/>
    <w:basedOn w:val="CommentTextChar"/>
    <w:link w:val="CommentSubject"/>
    <w:uiPriority w:val="99"/>
    <w:semiHidden/>
    <w:rsid w:val="008403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883042">
      <w:bodyDiv w:val="1"/>
      <w:marLeft w:val="0"/>
      <w:marRight w:val="0"/>
      <w:marTop w:val="0"/>
      <w:marBottom w:val="0"/>
      <w:divBdr>
        <w:top w:val="none" w:sz="0" w:space="0" w:color="auto"/>
        <w:left w:val="none" w:sz="0" w:space="0" w:color="auto"/>
        <w:bottom w:val="none" w:sz="0" w:space="0" w:color="auto"/>
        <w:right w:val="none" w:sz="0" w:space="0" w:color="auto"/>
      </w:divBdr>
      <w:divsChild>
        <w:div w:id="1120808088">
          <w:marLeft w:val="0"/>
          <w:marRight w:val="0"/>
          <w:marTop w:val="0"/>
          <w:marBottom w:val="0"/>
          <w:divBdr>
            <w:top w:val="none" w:sz="0" w:space="0" w:color="auto"/>
            <w:left w:val="none" w:sz="0" w:space="0" w:color="auto"/>
            <w:bottom w:val="none" w:sz="0" w:space="0" w:color="auto"/>
            <w:right w:val="none" w:sz="0" w:space="0" w:color="auto"/>
          </w:divBdr>
          <w:divsChild>
            <w:div w:id="208808661">
              <w:marLeft w:val="0"/>
              <w:marRight w:val="0"/>
              <w:marTop w:val="0"/>
              <w:marBottom w:val="0"/>
              <w:divBdr>
                <w:top w:val="none" w:sz="0" w:space="0" w:color="auto"/>
                <w:left w:val="none" w:sz="0" w:space="0" w:color="auto"/>
                <w:bottom w:val="none" w:sz="0" w:space="0" w:color="auto"/>
                <w:right w:val="none" w:sz="0" w:space="0" w:color="auto"/>
              </w:divBdr>
              <w:divsChild>
                <w:div w:id="8299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2802">
          <w:marLeft w:val="0"/>
          <w:marRight w:val="0"/>
          <w:marTop w:val="0"/>
          <w:marBottom w:val="225"/>
          <w:divBdr>
            <w:top w:val="none" w:sz="0" w:space="0" w:color="auto"/>
            <w:left w:val="none" w:sz="0" w:space="0" w:color="auto"/>
            <w:bottom w:val="none" w:sz="0" w:space="0" w:color="auto"/>
            <w:right w:val="none" w:sz="0" w:space="0" w:color="auto"/>
          </w:divBdr>
        </w:div>
      </w:divsChild>
    </w:div>
    <w:div w:id="1437286800">
      <w:bodyDiv w:val="1"/>
      <w:marLeft w:val="0"/>
      <w:marRight w:val="0"/>
      <w:marTop w:val="0"/>
      <w:marBottom w:val="0"/>
      <w:divBdr>
        <w:top w:val="none" w:sz="0" w:space="0" w:color="auto"/>
        <w:left w:val="none" w:sz="0" w:space="0" w:color="auto"/>
        <w:bottom w:val="none" w:sz="0" w:space="0" w:color="auto"/>
        <w:right w:val="none" w:sz="0" w:space="0" w:color="auto"/>
      </w:divBdr>
      <w:divsChild>
        <w:div w:id="1423573355">
          <w:marLeft w:val="0"/>
          <w:marRight w:val="0"/>
          <w:marTop w:val="0"/>
          <w:marBottom w:val="225"/>
          <w:divBdr>
            <w:top w:val="none" w:sz="0" w:space="0" w:color="auto"/>
            <w:left w:val="none" w:sz="0" w:space="0" w:color="auto"/>
            <w:bottom w:val="none" w:sz="0" w:space="0" w:color="auto"/>
            <w:right w:val="none" w:sz="0" w:space="0" w:color="auto"/>
          </w:divBdr>
        </w:div>
        <w:div w:id="1883132759">
          <w:marLeft w:val="0"/>
          <w:marRight w:val="0"/>
          <w:marTop w:val="0"/>
          <w:marBottom w:val="0"/>
          <w:divBdr>
            <w:top w:val="none" w:sz="0" w:space="0" w:color="auto"/>
            <w:left w:val="none" w:sz="0" w:space="0" w:color="auto"/>
            <w:bottom w:val="none" w:sz="0" w:space="0" w:color="auto"/>
            <w:right w:val="none" w:sz="0" w:space="0" w:color="auto"/>
          </w:divBdr>
          <w:divsChild>
            <w:div w:id="617417431">
              <w:marLeft w:val="0"/>
              <w:marRight w:val="0"/>
              <w:marTop w:val="0"/>
              <w:marBottom w:val="0"/>
              <w:divBdr>
                <w:top w:val="none" w:sz="0" w:space="0" w:color="auto"/>
                <w:left w:val="none" w:sz="0" w:space="0" w:color="auto"/>
                <w:bottom w:val="none" w:sz="0" w:space="0" w:color="auto"/>
                <w:right w:val="none" w:sz="0" w:space="0" w:color="auto"/>
              </w:divBdr>
              <w:divsChild>
                <w:div w:id="17752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53443">
      <w:bodyDiv w:val="1"/>
      <w:marLeft w:val="0"/>
      <w:marRight w:val="0"/>
      <w:marTop w:val="0"/>
      <w:marBottom w:val="0"/>
      <w:divBdr>
        <w:top w:val="none" w:sz="0" w:space="0" w:color="auto"/>
        <w:left w:val="none" w:sz="0" w:space="0" w:color="auto"/>
        <w:bottom w:val="none" w:sz="0" w:space="0" w:color="auto"/>
        <w:right w:val="none" w:sz="0" w:space="0" w:color="auto"/>
      </w:divBdr>
      <w:divsChild>
        <w:div w:id="2031950424">
          <w:marLeft w:val="0"/>
          <w:marRight w:val="0"/>
          <w:marTop w:val="0"/>
          <w:marBottom w:val="225"/>
          <w:divBdr>
            <w:top w:val="none" w:sz="0" w:space="0" w:color="auto"/>
            <w:left w:val="none" w:sz="0" w:space="0" w:color="auto"/>
            <w:bottom w:val="none" w:sz="0" w:space="0" w:color="auto"/>
            <w:right w:val="none" w:sz="0" w:space="0" w:color="auto"/>
          </w:divBdr>
        </w:div>
        <w:div w:id="2086949023">
          <w:marLeft w:val="0"/>
          <w:marRight w:val="0"/>
          <w:marTop w:val="0"/>
          <w:marBottom w:val="0"/>
          <w:divBdr>
            <w:top w:val="none" w:sz="0" w:space="0" w:color="auto"/>
            <w:left w:val="none" w:sz="0" w:space="0" w:color="auto"/>
            <w:bottom w:val="none" w:sz="0" w:space="0" w:color="auto"/>
            <w:right w:val="none" w:sz="0" w:space="0" w:color="auto"/>
          </w:divBdr>
          <w:divsChild>
            <w:div w:id="144787945">
              <w:marLeft w:val="0"/>
              <w:marRight w:val="0"/>
              <w:marTop w:val="0"/>
              <w:marBottom w:val="0"/>
              <w:divBdr>
                <w:top w:val="none" w:sz="0" w:space="0" w:color="auto"/>
                <w:left w:val="none" w:sz="0" w:space="0" w:color="auto"/>
                <w:bottom w:val="none" w:sz="0" w:space="0" w:color="auto"/>
                <w:right w:val="none" w:sz="0" w:space="0" w:color="auto"/>
              </w:divBdr>
              <w:divsChild>
                <w:div w:id="18598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s.oxfordshire.gov.uk/cms/node/35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ols.oxfordshire.gov.uk/cms/sites/schools/files/folders/folders/documents/safeguarding/Keepingchildrensafeineducation202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oxfordshire.gov.uk/cms/node/35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chools.oxfordshire.gov.uk/cms/node/350" TargetMode="External"/><Relationship Id="rId4" Type="http://schemas.openxmlformats.org/officeDocument/2006/relationships/settings" Target="settings.xml"/><Relationship Id="rId9" Type="http://schemas.openxmlformats.org/officeDocument/2006/relationships/hyperlink" Target="https://www.gov.uk/government/publications/teachers-standard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4CCF1-0F93-49CE-9BE7-55A5AB5C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3693</Words>
  <Characters>21053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24697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Trarieux, Amy - Corporate Services</dc:creator>
  <cp:lastModifiedBy>Kaluza, Leo - Oxfordshire County Council</cp:lastModifiedBy>
  <cp:revision>3</cp:revision>
  <cp:lastPrinted>2022-01-13T10:25:00Z</cp:lastPrinted>
  <dcterms:created xsi:type="dcterms:W3CDTF">2023-01-30T19:59:00Z</dcterms:created>
  <dcterms:modified xsi:type="dcterms:W3CDTF">2023-01-30T19:59:00Z</dcterms:modified>
</cp:coreProperties>
</file>